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A808B7" w:rsidRPr="00A2020C" w:rsidTr="00A808B7">
        <w:trPr>
          <w:trHeight w:val="844"/>
        </w:trPr>
        <w:tc>
          <w:tcPr>
            <w:tcW w:w="3190" w:type="dxa"/>
          </w:tcPr>
          <w:p w:rsidR="00A808B7" w:rsidRPr="00A2020C" w:rsidRDefault="00A808B7" w:rsidP="00743163">
            <w:pPr>
              <w:tabs>
                <w:tab w:val="left" w:pos="9356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808B7" w:rsidRPr="00A2020C" w:rsidRDefault="00A808B7" w:rsidP="00743163">
            <w:pPr>
              <w:tabs>
                <w:tab w:val="left" w:pos="9356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08B7" w:rsidRPr="00A2020C" w:rsidRDefault="00A808B7" w:rsidP="00743163">
            <w:pPr>
              <w:pStyle w:val="a4"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>Галиева</w:t>
            </w:r>
            <w:proofErr w:type="spellEnd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>Рузалия</w:t>
            </w:r>
            <w:proofErr w:type="spellEnd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>Хакимовна</w:t>
            </w:r>
            <w:proofErr w:type="spellEnd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A808B7" w:rsidRPr="00A2020C" w:rsidRDefault="00A808B7" w:rsidP="00743163">
            <w:pPr>
              <w:pStyle w:val="a4"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руководителя  Исполнительного </w:t>
            </w:r>
          </w:p>
          <w:p w:rsidR="00A808B7" w:rsidRPr="00A2020C" w:rsidRDefault="00A808B7" w:rsidP="00743163">
            <w:pPr>
              <w:pStyle w:val="a4"/>
              <w:tabs>
                <w:tab w:val="left" w:pos="9356"/>
              </w:tabs>
              <w:spacing w:line="276" w:lineRule="auto"/>
            </w:pPr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</w:t>
            </w:r>
            <w:proofErr w:type="spellStart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>Кукморского</w:t>
            </w:r>
            <w:proofErr w:type="spellEnd"/>
            <w:r w:rsidRPr="00A2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D03425" w:rsidRPr="00A808B7" w:rsidRDefault="00D03425" w:rsidP="00743163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B7">
        <w:rPr>
          <w:rFonts w:ascii="Times New Roman" w:hAnsi="Times New Roman" w:cs="Times New Roman"/>
          <w:b/>
          <w:sz w:val="28"/>
          <w:szCs w:val="28"/>
        </w:rPr>
        <w:t>«Нематериальное культурное наследие как культурный бренд муниципального образования»</w:t>
      </w:r>
    </w:p>
    <w:p w:rsidR="00D03425" w:rsidRPr="00D03425" w:rsidRDefault="00D03425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 муниципальный район – один из многонациональных  районов республики. Сегодня на его территории проживает  более 51 тысячи человек, из них 79% -татарской, 5% -русской, 14%- удмуртской, 1,2% -марийской национальности  и 0,8% -других национальностей. Нематериальное культурное наследие народов, проживающих на территории района,   являясь важнейшей составляющей частью национальной культуры, способствующей формированию толерантности, основой национального самосознания, укрепляющей духовную связь поколений, играет ключевую роль в формировании культуры  в муниципальном районе. </w:t>
      </w:r>
      <w:proofErr w:type="gramStart"/>
      <w:r w:rsidRPr="00D03425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D03425">
        <w:rPr>
          <w:rFonts w:ascii="Times New Roman" w:hAnsi="Times New Roman" w:cs="Times New Roman"/>
          <w:sz w:val="28"/>
          <w:szCs w:val="28"/>
        </w:rPr>
        <w:t xml:space="preserve"> культура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Главная цель  органов местного самоуправления, исполнительных комитетов  - сохранение глубинных, базовых основ многонациональной культуры,  национальных языков, значимых традиций, памятников фольклора, защита культурной самобытности каждого народа, проживающего на территории района, создание условий для популяризации нематериального культурного наследия этих народов  с целью сохранения единого культурного пространства.  Изучение  устных традиции,  исполнительского искусства, обычаев, обрядов, празднеств,  традиционных 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ремёсл</w:t>
      </w:r>
      <w:proofErr w:type="spellEnd"/>
      <w:r w:rsidR="00A808B7">
        <w:rPr>
          <w:rFonts w:ascii="Times New Roman" w:hAnsi="Times New Roman" w:cs="Times New Roman"/>
          <w:sz w:val="28"/>
          <w:szCs w:val="28"/>
        </w:rPr>
        <w:t xml:space="preserve"> </w:t>
      </w:r>
      <w:r w:rsidRPr="00D03425">
        <w:rPr>
          <w:rFonts w:ascii="Times New Roman" w:hAnsi="Times New Roman" w:cs="Times New Roman"/>
          <w:sz w:val="28"/>
          <w:szCs w:val="28"/>
        </w:rPr>
        <w:t>народов, проживающих на территории района показал</w:t>
      </w:r>
      <w:r w:rsidR="00A808B7">
        <w:rPr>
          <w:rFonts w:ascii="Times New Roman" w:hAnsi="Times New Roman" w:cs="Times New Roman"/>
          <w:sz w:val="28"/>
          <w:szCs w:val="28"/>
        </w:rPr>
        <w:t>о</w:t>
      </w:r>
      <w:r w:rsidRPr="00D03425">
        <w:rPr>
          <w:rFonts w:ascii="Times New Roman" w:hAnsi="Times New Roman" w:cs="Times New Roman"/>
          <w:sz w:val="28"/>
          <w:szCs w:val="28"/>
        </w:rPr>
        <w:t xml:space="preserve">, что  нам есть - что </w:t>
      </w:r>
      <w:proofErr w:type="gramStart"/>
      <w:r w:rsidRPr="00D03425">
        <w:rPr>
          <w:rFonts w:ascii="Times New Roman" w:hAnsi="Times New Roman" w:cs="Times New Roman"/>
          <w:sz w:val="28"/>
          <w:szCs w:val="28"/>
        </w:rPr>
        <w:t>сохранить и развивать</w:t>
      </w:r>
      <w:proofErr w:type="gramEnd"/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035181" w:rsidRDefault="00D03425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В «Концепции сохранения и развития нематериального культурного наследия народов Российской Федерации на 2009-2015 годы» нематериальное  культурное наследие  рассматривается как средство  способствующее решению   таких серьезных проблем, как восстановление и развитие социального и экономического потенциала сельских территорий. Культурное наследие может  содействовать   привлечению </w:t>
      </w:r>
      <w:r w:rsidR="00A808B7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="00A808B7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A808B7">
        <w:rPr>
          <w:rFonts w:ascii="Times New Roman" w:hAnsi="Times New Roman" w:cs="Times New Roman"/>
          <w:sz w:val="28"/>
          <w:szCs w:val="28"/>
        </w:rPr>
        <w:t xml:space="preserve"> район,  республику</w:t>
      </w:r>
      <w:r w:rsidRPr="00D03425">
        <w:rPr>
          <w:rFonts w:ascii="Times New Roman" w:hAnsi="Times New Roman" w:cs="Times New Roman"/>
          <w:sz w:val="28"/>
          <w:szCs w:val="28"/>
        </w:rPr>
        <w:t xml:space="preserve"> инвестиции, развитию  туристического бизнеса.    Историко-культурные бренды территорий   имеют огромное значение и для постоянных жителей этих территорий, формируя у них гордость, патриотизм, а также этнокультурную и региональную </w:t>
      </w:r>
      <w:r w:rsidRPr="00D03425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идентичность, гармоничное развитие. Поэтому бренды можно рассматривать в качестве одного из важных ресурсов социально- экономического, политического  и историко-культурного развития   муниципальных образований. В этом смысле немаловажное место занимают образы, связанные с нематериальным культурным наследием того или иного народа или народов, </w:t>
      </w:r>
      <w:proofErr w:type="gramStart"/>
      <w:r w:rsidRPr="00D03425">
        <w:rPr>
          <w:rFonts w:ascii="Times New Roman" w:hAnsi="Times New Roman" w:cs="Times New Roman"/>
          <w:sz w:val="28"/>
          <w:szCs w:val="28"/>
        </w:rPr>
        <w:t>населяющих</w:t>
      </w:r>
      <w:proofErr w:type="gramEnd"/>
      <w:r w:rsidRPr="00D03425">
        <w:rPr>
          <w:rFonts w:ascii="Times New Roman" w:hAnsi="Times New Roman" w:cs="Times New Roman"/>
          <w:sz w:val="28"/>
          <w:szCs w:val="28"/>
        </w:rPr>
        <w:t xml:space="preserve"> конкретную территорию.  Приведу   конкретный  пример, связанный с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Кукморским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муниципальным районом. Многие очень хорошо представляют герб нашего муниципального образования. Там центральное место занимает пара валенок. Изготовление войлочных изделий на протяжении столетий является неким брендом нашей территории. </w:t>
      </w:r>
    </w:p>
    <w:p w:rsidR="00D03425" w:rsidRDefault="00D03425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Кукморские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валенки отличаются от производителей других территорий именно технологией, сохраненной у нас. В  то же время в ряде населенных пунктах нашего района сохранилась традиция ручного валяния, которое для заинтересованных лиц может стать неким интересным маршрутом,  ознакомлением историей всего технологического процесса. В то же время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район известен и своим брендовым блюдом – это “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борайбәлеше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>”, который является обязательным блюдом, предлагаемым гостям район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808B7" w:rsidRDefault="00D03425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Говоря о нематериальном культурном наследии как о ресурсе социально – экономического развития села,  муниципалитета  нельзя обходить стороной   народные праздники, обряды, которые лучше любых других средств рассказывают об истории, о культурных и ментальных особенностях народа. Татарский национальный праздник Сабантуй в этом смысле является одним из ярких примеров, который в современном татарском мире и в мировом культурном сообществе является брендом всей татарской нации муниципального района и  Татарстана. Наряду с Сабантуем в  муниципальном районе своего ряда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имиджевыми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культурными брендами  стали народные праздники  всех коренных народов, проживающих на ее территории. Например, татарские национальные календарные праздники  «Карга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боткасы-Зэрэ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» в д.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Княбаш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Сорэн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>» в д. Кошкино,   народов  удмуртской  национальности «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 w:rsidR="00A8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Акашка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» в селах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Нырья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, Починок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Сутер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>,  марийских народов «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34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03425">
        <w:rPr>
          <w:rFonts w:ascii="Times New Roman" w:hAnsi="Times New Roman" w:cs="Times New Roman"/>
          <w:sz w:val="28"/>
          <w:szCs w:val="28"/>
        </w:rPr>
        <w:t>очинокКучук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      на протяжении последних 10-и лет стали своего рода культурным брендом этих сел и    муниципального района.  </w:t>
      </w:r>
    </w:p>
    <w:p w:rsidR="00B54C60" w:rsidRDefault="00BB5EE4" w:rsidP="0074316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 w:rsidR="00A808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Праздники  стали очень популярной площадкой демонстрации обрядовых традиций, народной кухни и промыслов, презентации традиционной национальной культуры, где с удовольствием участвуют   фольклорные </w:t>
      </w:r>
      <w:r w:rsidR="00D03425" w:rsidRPr="00D03425">
        <w:rPr>
          <w:rFonts w:ascii="Times New Roman" w:hAnsi="Times New Roman" w:cs="Times New Roman"/>
          <w:sz w:val="28"/>
          <w:szCs w:val="28"/>
        </w:rPr>
        <w:lastRenderedPageBreak/>
        <w:t>ансамбли разных направлений.   Примечательно и то, что в процессе подготовки праздника принимают участие разные бизнес структуры, которые через данный праздник получают возможность рекламировать как свой товар, так и создания положительного имиджа своих  предприятий. Данный ряд может продолжить и летний народный праздник «</w:t>
      </w:r>
      <w:proofErr w:type="spellStart"/>
      <w:r w:rsidR="00D03425" w:rsidRPr="00D03425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="00D03425" w:rsidRPr="00D03425">
        <w:rPr>
          <w:rFonts w:ascii="Times New Roman" w:hAnsi="Times New Roman" w:cs="Times New Roman"/>
          <w:sz w:val="28"/>
          <w:szCs w:val="28"/>
        </w:rPr>
        <w:t xml:space="preserve">» татар – </w:t>
      </w:r>
      <w:proofErr w:type="spellStart"/>
      <w:r w:rsidR="00D03425" w:rsidRPr="00D03425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D03425" w:rsidRPr="00D03425">
        <w:rPr>
          <w:rFonts w:ascii="Times New Roman" w:hAnsi="Times New Roman" w:cs="Times New Roman"/>
          <w:sz w:val="28"/>
          <w:szCs w:val="28"/>
        </w:rPr>
        <w:t xml:space="preserve">, проводимый на территории  с. Село </w:t>
      </w:r>
      <w:proofErr w:type="spellStart"/>
      <w:r w:rsidR="00D03425" w:rsidRPr="00D03425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="00D03425" w:rsidRPr="00D03425">
        <w:rPr>
          <w:rFonts w:ascii="Times New Roman" w:hAnsi="Times New Roman" w:cs="Times New Roman"/>
          <w:sz w:val="28"/>
          <w:szCs w:val="28"/>
        </w:rPr>
        <w:t xml:space="preserve">. Этот праздник стал  масштабным </w:t>
      </w:r>
      <w:r w:rsidR="00A808B7">
        <w:rPr>
          <w:rFonts w:ascii="Times New Roman" w:hAnsi="Times New Roman" w:cs="Times New Roman"/>
          <w:sz w:val="28"/>
          <w:szCs w:val="28"/>
        </w:rPr>
        <w:t>межрайонным народным праздником,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который на своих   площадках собирает более  4-х тысяч человек.    </w:t>
      </w:r>
    </w:p>
    <w:p w:rsidR="00B54C60" w:rsidRPr="001F71F2" w:rsidRDefault="00B54C60" w:rsidP="00743163">
      <w:pPr>
        <w:tabs>
          <w:tab w:val="left" w:pos="9356"/>
        </w:tabs>
        <w:ind w:right="-1" w:firstLine="709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уникальных мероприятий Года историко-культурного наследия, направленных на выявление  нематериального культурного наследия  стал        </w:t>
      </w:r>
      <w:r w:rsidRPr="001F71F2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F2">
        <w:rPr>
          <w:rFonts w:ascii="Times New Roman" w:hAnsi="Times New Roman" w:cs="Times New Roman"/>
          <w:sz w:val="28"/>
          <w:szCs w:val="28"/>
        </w:rPr>
        <w:t xml:space="preserve">  среди сельских поселений  «</w:t>
      </w:r>
      <w:proofErr w:type="spellStart"/>
      <w:r w:rsidRPr="001F71F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F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1F2">
        <w:rPr>
          <w:rFonts w:ascii="Times New Roman" w:hAnsi="Times New Roman" w:cs="Times New Roman"/>
          <w:sz w:val="28"/>
          <w:szCs w:val="28"/>
        </w:rPr>
        <w:t>ягым</w:t>
      </w:r>
      <w:proofErr w:type="spellEnd"/>
      <w:r w:rsidRPr="001F7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1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F7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71F2">
        <w:rPr>
          <w:rFonts w:ascii="Times New Roman" w:hAnsi="Times New Roman" w:cs="Times New Roman"/>
          <w:sz w:val="28"/>
          <w:szCs w:val="28"/>
        </w:rPr>
        <w:t>лхам</w:t>
      </w:r>
      <w:proofErr w:type="spellEnd"/>
      <w:r w:rsidRPr="001F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1F2">
        <w:rPr>
          <w:rFonts w:ascii="Times New Roman" w:hAnsi="Times New Roman" w:cs="Times New Roman"/>
          <w:sz w:val="28"/>
          <w:szCs w:val="28"/>
        </w:rPr>
        <w:t>чишмэсе</w:t>
      </w:r>
      <w:proofErr w:type="spellEnd"/>
      <w:r w:rsidRPr="001F7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F71F2">
        <w:rPr>
          <w:rFonts w:ascii="Times New Roman" w:hAnsi="Times New Roman" w:cs="Times New Roman"/>
          <w:sz w:val="28"/>
          <w:szCs w:val="28"/>
        </w:rPr>
        <w:t xml:space="preserve"> показал, что практически у каждого   поселения, населенного пункта есть  своё специфическое    наследие: легенды, игры, песни, танцы, на которых воспитывались поколения жителей и которые  дошли до наших дней. Одним из критериев оценки выступлений на фестивале 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1F71F2">
        <w:rPr>
          <w:rFonts w:ascii="Times New Roman" w:hAnsi="Times New Roman" w:cs="Times New Roman"/>
          <w:sz w:val="28"/>
          <w:szCs w:val="28"/>
        </w:rPr>
        <w:t xml:space="preserve">   показ    своего культурного нематериального  наследия.    Создание  реестра </w:t>
      </w:r>
      <w:r>
        <w:rPr>
          <w:rFonts w:ascii="Times New Roman" w:hAnsi="Times New Roman" w:cs="Times New Roman"/>
          <w:sz w:val="28"/>
          <w:szCs w:val="28"/>
        </w:rPr>
        <w:t xml:space="preserve">всего  </w:t>
      </w:r>
      <w:r w:rsidRPr="001F71F2">
        <w:rPr>
          <w:rFonts w:ascii="Times New Roman" w:hAnsi="Times New Roman" w:cs="Times New Roman"/>
          <w:sz w:val="28"/>
          <w:szCs w:val="28"/>
        </w:rPr>
        <w:t xml:space="preserve">культурного нематериального  наследия позволит в дальнейшем разрабатывать более интересные, привлекательные маршруты по муниципальному району и представить гостям района, а их и сейчас не мало. Только за 2013 год на базе района проведено  6 республиканских мероприятий. </w:t>
      </w:r>
    </w:p>
    <w:p w:rsidR="00D03425" w:rsidRPr="00D03425" w:rsidRDefault="00D03425" w:rsidP="0074316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 </w:t>
      </w:r>
      <w:r w:rsidR="00743163">
        <w:rPr>
          <w:rFonts w:ascii="Times New Roman" w:hAnsi="Times New Roman" w:cs="Times New Roman"/>
          <w:sz w:val="28"/>
          <w:szCs w:val="28"/>
        </w:rPr>
        <w:t xml:space="preserve">     </w:t>
      </w:r>
      <w:r w:rsidR="006556B9">
        <w:rPr>
          <w:rFonts w:ascii="Times New Roman" w:hAnsi="Times New Roman" w:cs="Times New Roman"/>
          <w:sz w:val="28"/>
          <w:szCs w:val="28"/>
        </w:rPr>
        <w:t xml:space="preserve"> </w:t>
      </w:r>
      <w:r w:rsidRPr="00D03425">
        <w:rPr>
          <w:rFonts w:ascii="Times New Roman" w:hAnsi="Times New Roman" w:cs="Times New Roman"/>
          <w:sz w:val="28"/>
          <w:szCs w:val="28"/>
        </w:rPr>
        <w:t xml:space="preserve">Представленная небольшая информация об использовании явлений нематериального культурного наследия,  как </w:t>
      </w:r>
      <w:proofErr w:type="spellStart"/>
      <w:r w:rsidRPr="00D03425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D03425">
        <w:rPr>
          <w:rFonts w:ascii="Times New Roman" w:hAnsi="Times New Roman" w:cs="Times New Roman"/>
          <w:sz w:val="28"/>
          <w:szCs w:val="28"/>
        </w:rPr>
        <w:t xml:space="preserve"> бренды  муниципального района, доказывает факт того, что они являются богатейшим ресурсом для успешного развития района. И профессиональное формирование таких историко-культурных брендов, а затем - развитие на их основе  культурно-познавательного туризма может сыграть заметную роль в решении социальных проблем  муниципальных районов и  республики.</w:t>
      </w:r>
    </w:p>
    <w:p w:rsidR="00A808B7" w:rsidRDefault="00A808B7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3425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3CD3">
        <w:rPr>
          <w:rFonts w:ascii="Times New Roman" w:hAnsi="Times New Roman" w:cs="Times New Roman"/>
          <w:sz w:val="28"/>
          <w:szCs w:val="28"/>
        </w:rPr>
        <w:t xml:space="preserve">сновной инфраструктурой сохранения, популяризации и актуализации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народных традиций являются учреждения культурно-досугового типа.  Уровень сохранности, возрождение и дальнейшее развитие  нематериального культурного наследия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 во многом напрямую зависит   от наличия на местах  людей, ответственных специалистов </w:t>
      </w:r>
      <w:r>
        <w:rPr>
          <w:rFonts w:ascii="Times New Roman" w:hAnsi="Times New Roman" w:cs="Times New Roman"/>
          <w:sz w:val="28"/>
          <w:szCs w:val="28"/>
        </w:rPr>
        <w:t>– зна</w:t>
      </w:r>
      <w:r w:rsidR="003B3CD3">
        <w:rPr>
          <w:rFonts w:ascii="Times New Roman" w:hAnsi="Times New Roman" w:cs="Times New Roman"/>
          <w:sz w:val="28"/>
          <w:szCs w:val="28"/>
        </w:rPr>
        <w:t>токов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наследия, обладающих  талантом,   огромной   любовью к истории, культуре  своего народа и народов  других национальностей. В нашем муниципальном районе  </w:t>
      </w:r>
      <w:r w:rsidR="003B3CD3">
        <w:rPr>
          <w:rFonts w:ascii="Times New Roman" w:hAnsi="Times New Roman" w:cs="Times New Roman"/>
          <w:sz w:val="28"/>
          <w:szCs w:val="28"/>
        </w:rPr>
        <w:t xml:space="preserve">на сегодняшний день достаточно интересно и с уникальным репертуаром функционируют </w:t>
      </w:r>
      <w:r w:rsidR="00D03425" w:rsidRPr="00D03425">
        <w:rPr>
          <w:rFonts w:ascii="Times New Roman" w:hAnsi="Times New Roman" w:cs="Times New Roman"/>
          <w:sz w:val="28"/>
          <w:szCs w:val="28"/>
        </w:rPr>
        <w:t>10 фольклорных</w:t>
      </w:r>
      <w:r w:rsidR="003B3CD3">
        <w:rPr>
          <w:rFonts w:ascii="Times New Roman" w:hAnsi="Times New Roman" w:cs="Times New Roman"/>
          <w:sz w:val="28"/>
          <w:szCs w:val="28"/>
        </w:rPr>
        <w:t xml:space="preserve"> ансамблей</w:t>
      </w:r>
      <w:r>
        <w:rPr>
          <w:rFonts w:ascii="Times New Roman" w:hAnsi="Times New Roman" w:cs="Times New Roman"/>
          <w:sz w:val="28"/>
          <w:szCs w:val="28"/>
        </w:rPr>
        <w:t xml:space="preserve"> и 11 народных фольклорных ансамблей,  </w:t>
      </w:r>
      <w:r w:rsidR="003B3CD3">
        <w:rPr>
          <w:rFonts w:ascii="Times New Roman" w:hAnsi="Times New Roman" w:cs="Times New Roman"/>
          <w:sz w:val="28"/>
          <w:szCs w:val="28"/>
        </w:rPr>
        <w:t xml:space="preserve">которые в той или иной степени способствовали возрождению </w:t>
      </w:r>
      <w:r w:rsidR="003B3CD3">
        <w:rPr>
          <w:rFonts w:ascii="Times New Roman" w:hAnsi="Times New Roman" w:cs="Times New Roman"/>
          <w:sz w:val="28"/>
          <w:szCs w:val="28"/>
        </w:rPr>
        <w:lastRenderedPageBreak/>
        <w:t>этнических праздников. З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начительная часть  </w:t>
      </w:r>
      <w:r w:rsidR="003B3CD3">
        <w:rPr>
          <w:rFonts w:ascii="Times New Roman" w:hAnsi="Times New Roman" w:cs="Times New Roman"/>
          <w:sz w:val="28"/>
          <w:szCs w:val="28"/>
        </w:rPr>
        <w:t xml:space="preserve">этих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праздников    были возрождены </w:t>
      </w:r>
      <w:r w:rsidR="003B3CD3">
        <w:rPr>
          <w:rFonts w:ascii="Times New Roman" w:hAnsi="Times New Roman" w:cs="Times New Roman"/>
          <w:sz w:val="28"/>
          <w:szCs w:val="28"/>
        </w:rPr>
        <w:t>в конце прошедшего столетия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, когда заместителем руководителя  Исполкома по социальным вопросам   стала работать нынешний начальник управления </w:t>
      </w:r>
      <w:r w:rsidR="0012124E">
        <w:rPr>
          <w:rFonts w:ascii="Times New Roman" w:hAnsi="Times New Roman" w:cs="Times New Roman"/>
          <w:sz w:val="28"/>
          <w:szCs w:val="28"/>
        </w:rPr>
        <w:t xml:space="preserve">культуры Гареева Гульнара </w:t>
      </w:r>
      <w:proofErr w:type="spellStart"/>
      <w:r w:rsidR="0012124E">
        <w:rPr>
          <w:rFonts w:ascii="Times New Roman" w:hAnsi="Times New Roman" w:cs="Times New Roman"/>
          <w:sz w:val="28"/>
          <w:szCs w:val="28"/>
        </w:rPr>
        <w:t>Закир</w:t>
      </w:r>
      <w:r w:rsidR="0078309A">
        <w:rPr>
          <w:rFonts w:ascii="Times New Roman" w:hAnsi="Times New Roman" w:cs="Times New Roman"/>
          <w:sz w:val="28"/>
          <w:szCs w:val="28"/>
        </w:rPr>
        <w:t>ов</w:t>
      </w:r>
      <w:r w:rsidR="00D03425" w:rsidRPr="00D034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03425" w:rsidRPr="00D03425">
        <w:rPr>
          <w:rFonts w:ascii="Times New Roman" w:hAnsi="Times New Roman" w:cs="Times New Roman"/>
          <w:sz w:val="28"/>
          <w:szCs w:val="28"/>
        </w:rPr>
        <w:t xml:space="preserve">. Но время идет,  кадры меняются.  В условиях </w:t>
      </w:r>
      <w:proofErr w:type="gramStart"/>
      <w:r w:rsidR="00D03425" w:rsidRPr="00D03425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каких либо координирующих республиканских программных документов, </w:t>
      </w:r>
      <w:r w:rsidR="00456EC6">
        <w:rPr>
          <w:rFonts w:ascii="Times New Roman" w:hAnsi="Times New Roman" w:cs="Times New Roman"/>
          <w:sz w:val="28"/>
          <w:szCs w:val="28"/>
        </w:rPr>
        <w:t xml:space="preserve">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возникает сомнение в  том, насколько реально будет сохранено  даже через год, то нематериальное культурное наследие, которое  мы сегодня имеем. </w:t>
      </w:r>
      <w:r w:rsidR="00456EC6">
        <w:rPr>
          <w:rFonts w:ascii="Times New Roman" w:hAnsi="Times New Roman" w:cs="Times New Roman"/>
          <w:sz w:val="28"/>
          <w:szCs w:val="28"/>
        </w:rPr>
        <w:t xml:space="preserve">  </w:t>
      </w:r>
      <w:r w:rsidR="000D4EF5">
        <w:rPr>
          <w:rFonts w:ascii="Times New Roman" w:hAnsi="Times New Roman" w:cs="Times New Roman"/>
          <w:sz w:val="28"/>
          <w:szCs w:val="28"/>
        </w:rPr>
        <w:t>Н</w:t>
      </w:r>
      <w:r w:rsidR="00456EC6">
        <w:rPr>
          <w:rFonts w:ascii="Times New Roman" w:hAnsi="Times New Roman" w:cs="Times New Roman"/>
          <w:sz w:val="28"/>
          <w:szCs w:val="28"/>
        </w:rPr>
        <w:t xml:space="preserve">ам необходим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</w:t>
      </w:r>
      <w:r w:rsidR="00456EC6">
        <w:rPr>
          <w:rFonts w:ascii="Times New Roman" w:hAnsi="Times New Roman" w:cs="Times New Roman"/>
          <w:sz w:val="28"/>
          <w:szCs w:val="28"/>
        </w:rPr>
        <w:t>документ, имеющий</w:t>
      </w:r>
      <w:r w:rsidR="000D4EF5">
        <w:rPr>
          <w:rFonts w:ascii="Times New Roman" w:hAnsi="Times New Roman" w:cs="Times New Roman"/>
          <w:sz w:val="28"/>
          <w:szCs w:val="28"/>
        </w:rPr>
        <w:t xml:space="preserve"> межведомственный характер, на основании которого мы бы смогли принять межведомственные муниципальные  подпрограммы.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Почему? Приведу только один  пример. В рамках   учебных программ в школах республики  за счет школьного компонента  предусмотрено изучение  предмета «Мировая художественная  культура», при изучении которого  наши дети  знакомятся с шедеврами мирового уровня. Сложившаяся ситуация с изучением данного предмета сегодня такова, какая она была с  историей, географией, когда в 70-е годы мы прекрасно знали  историю Киевской Руси, Москвы,  ограниченно </w:t>
      </w:r>
      <w:r w:rsidR="00623982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республики и практически не знали историю района, деревни. То же самое было и с географией.  </w:t>
      </w:r>
    </w:p>
    <w:p w:rsidR="00D03425" w:rsidRPr="00D03425" w:rsidRDefault="00A808B7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последние 10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лет Министерством образования и науки республики проделана огромная работа: созданы учебные</w:t>
      </w:r>
      <w:r w:rsidR="00623982">
        <w:rPr>
          <w:rFonts w:ascii="Times New Roman" w:hAnsi="Times New Roman" w:cs="Times New Roman"/>
          <w:sz w:val="28"/>
          <w:szCs w:val="28"/>
        </w:rPr>
        <w:t>, учебно-методические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пособия по</w:t>
      </w:r>
      <w:r w:rsidR="00623982">
        <w:rPr>
          <w:rFonts w:ascii="Times New Roman" w:hAnsi="Times New Roman" w:cs="Times New Roman"/>
          <w:sz w:val="28"/>
          <w:szCs w:val="28"/>
        </w:rPr>
        <w:t xml:space="preserve"> школьному курсу 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623982">
        <w:rPr>
          <w:rFonts w:ascii="Times New Roman" w:hAnsi="Times New Roman" w:cs="Times New Roman"/>
          <w:sz w:val="28"/>
          <w:szCs w:val="28"/>
        </w:rPr>
        <w:t>географии муниципальных районов,</w:t>
      </w:r>
      <w:r w:rsidR="003B3CD3">
        <w:rPr>
          <w:rFonts w:ascii="Times New Roman" w:hAnsi="Times New Roman" w:cs="Times New Roman"/>
          <w:sz w:val="28"/>
          <w:szCs w:val="28"/>
        </w:rPr>
        <w:t xml:space="preserve">   которыми пользуются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во всех школах районов.</w:t>
      </w:r>
      <w:proofErr w:type="gramEnd"/>
      <w:r w:rsidR="007C796F">
        <w:rPr>
          <w:rFonts w:ascii="Times New Roman" w:hAnsi="Times New Roman" w:cs="Times New Roman"/>
          <w:sz w:val="28"/>
          <w:szCs w:val="28"/>
        </w:rPr>
        <w:t xml:space="preserve"> </w:t>
      </w:r>
      <w:r w:rsidR="00D03425" w:rsidRPr="00D03425">
        <w:rPr>
          <w:rFonts w:ascii="Times New Roman" w:hAnsi="Times New Roman" w:cs="Times New Roman"/>
          <w:sz w:val="28"/>
          <w:szCs w:val="28"/>
        </w:rPr>
        <w:t>Создание  и внедрение в учебно-воспитательный процесс</w:t>
      </w:r>
      <w:r w:rsidR="007C796F">
        <w:rPr>
          <w:rFonts w:ascii="Times New Roman" w:hAnsi="Times New Roman" w:cs="Times New Roman"/>
          <w:sz w:val="28"/>
          <w:szCs w:val="28"/>
        </w:rPr>
        <w:t>,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 начиная с дошкольного возраста</w:t>
      </w:r>
      <w:r w:rsidR="007C796F">
        <w:rPr>
          <w:rFonts w:ascii="Times New Roman" w:hAnsi="Times New Roman" w:cs="Times New Roman"/>
          <w:sz w:val="28"/>
          <w:szCs w:val="28"/>
        </w:rPr>
        <w:t>,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учебно-методических пособий по культурному наследию рес</w:t>
      </w:r>
      <w:r w:rsidR="007C796F">
        <w:rPr>
          <w:rFonts w:ascii="Times New Roman" w:hAnsi="Times New Roman" w:cs="Times New Roman"/>
          <w:sz w:val="28"/>
          <w:szCs w:val="28"/>
        </w:rPr>
        <w:t>публики, муниципальных районов с аудио-видео сопровождением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,   </w:t>
      </w:r>
      <w:r w:rsidR="007C796F">
        <w:rPr>
          <w:rFonts w:ascii="Times New Roman" w:hAnsi="Times New Roman" w:cs="Times New Roman"/>
          <w:sz w:val="28"/>
          <w:szCs w:val="28"/>
        </w:rPr>
        <w:t xml:space="preserve"> обеспечит   решение</w:t>
      </w:r>
      <w:r w:rsidR="00D03425" w:rsidRPr="00D03425">
        <w:rPr>
          <w:rFonts w:ascii="Times New Roman" w:hAnsi="Times New Roman" w:cs="Times New Roman"/>
          <w:sz w:val="28"/>
          <w:szCs w:val="28"/>
        </w:rPr>
        <w:t xml:space="preserve">  достаточно большого круга задач,  обозначенных  в «Концепции  сохранения  и развития нематериального культурного наследия народов Российской Федерации на 2009-2015 годы».</w:t>
      </w:r>
    </w:p>
    <w:p w:rsidR="00D03425" w:rsidRPr="00D03425" w:rsidRDefault="006556B9" w:rsidP="00333EE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808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 w:rsidR="00D03425" w:rsidRPr="00D0342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03425" w:rsidRPr="00D03425" w:rsidSect="00C646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92" w:rsidRDefault="00E81B92" w:rsidP="00743163">
      <w:pPr>
        <w:spacing w:after="0" w:line="240" w:lineRule="auto"/>
      </w:pPr>
      <w:r>
        <w:separator/>
      </w:r>
    </w:p>
  </w:endnote>
  <w:endnote w:type="continuationSeparator" w:id="0">
    <w:p w:rsidR="00E81B92" w:rsidRDefault="00E81B92" w:rsidP="007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92" w:rsidRDefault="00E81B92" w:rsidP="00743163">
      <w:pPr>
        <w:spacing w:after="0" w:line="240" w:lineRule="auto"/>
      </w:pPr>
      <w:r>
        <w:separator/>
      </w:r>
    </w:p>
  </w:footnote>
  <w:footnote w:type="continuationSeparator" w:id="0">
    <w:p w:rsidR="00E81B92" w:rsidRDefault="00E81B92" w:rsidP="0074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7784"/>
      <w:docPartObj>
        <w:docPartGallery w:val="Page Numbers (Top of Page)"/>
        <w:docPartUnique/>
      </w:docPartObj>
    </w:sdtPr>
    <w:sdtEndPr/>
    <w:sdtContent>
      <w:p w:rsidR="00743163" w:rsidRDefault="00E81B9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163" w:rsidRDefault="007431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425"/>
    <w:rsid w:val="00035181"/>
    <w:rsid w:val="000D4EF5"/>
    <w:rsid w:val="0012124E"/>
    <w:rsid w:val="001A4E6F"/>
    <w:rsid w:val="00333EEC"/>
    <w:rsid w:val="00370ED5"/>
    <w:rsid w:val="003B3CD3"/>
    <w:rsid w:val="00456EC6"/>
    <w:rsid w:val="004C7817"/>
    <w:rsid w:val="00623982"/>
    <w:rsid w:val="006556B9"/>
    <w:rsid w:val="00690882"/>
    <w:rsid w:val="00743163"/>
    <w:rsid w:val="0078309A"/>
    <w:rsid w:val="007C796F"/>
    <w:rsid w:val="00A808B7"/>
    <w:rsid w:val="00B54C60"/>
    <w:rsid w:val="00BB5EE4"/>
    <w:rsid w:val="00C6461A"/>
    <w:rsid w:val="00CD731C"/>
    <w:rsid w:val="00D03425"/>
    <w:rsid w:val="00D568E0"/>
    <w:rsid w:val="00E8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8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63"/>
  </w:style>
  <w:style w:type="paragraph" w:styleId="a7">
    <w:name w:val="footer"/>
    <w:basedOn w:val="a"/>
    <w:link w:val="a8"/>
    <w:uiPriority w:val="99"/>
    <w:semiHidden/>
    <w:unhideWhenUsed/>
    <w:rsid w:val="007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Завгаров</dc:creator>
  <cp:lastModifiedBy>Райля Т. Гатауллина</cp:lastModifiedBy>
  <cp:revision>14</cp:revision>
  <dcterms:created xsi:type="dcterms:W3CDTF">2013-10-30T19:19:00Z</dcterms:created>
  <dcterms:modified xsi:type="dcterms:W3CDTF">2014-01-15T10:03:00Z</dcterms:modified>
</cp:coreProperties>
</file>