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48" w:rsidRDefault="0006438E">
      <w:r>
        <w:rPr>
          <w:noProof/>
        </w:rPr>
        <mc:AlternateContent>
          <mc:Choice Requires="wps">
            <w:drawing>
              <wp:anchor distT="0" distB="0" distL="114300" distR="114300" simplePos="0" relativeHeight="251656704"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FA5" w:rsidRPr="00A712A7" w:rsidRDefault="008A4FA5" w:rsidP="00DD005B">
                            <w:pPr>
                              <w:ind w:left="-142" w:right="-103"/>
                              <w:jc w:val="center"/>
                              <w:rPr>
                                <w:spacing w:val="-8"/>
                                <w:sz w:val="28"/>
                                <w:szCs w:val="28"/>
                              </w:rPr>
                            </w:pPr>
                            <w:r w:rsidRPr="00A712A7">
                              <w:rPr>
                                <w:spacing w:val="-8"/>
                                <w:sz w:val="28"/>
                                <w:szCs w:val="28"/>
                              </w:rPr>
                              <w:t>МИНИСТЕРСТВО КУЛЬТУРЫ</w:t>
                            </w:r>
                          </w:p>
                          <w:p w:rsidR="008A4FA5" w:rsidRPr="00236850" w:rsidRDefault="008A4FA5" w:rsidP="00DD005B">
                            <w:pPr>
                              <w:ind w:left="-142" w:right="-103"/>
                              <w:jc w:val="center"/>
                              <w:rPr>
                                <w:spacing w:val="-20"/>
                                <w:sz w:val="28"/>
                                <w:szCs w:val="28"/>
                              </w:rPr>
                            </w:pPr>
                            <w:r w:rsidRPr="00A712A7">
                              <w:rPr>
                                <w:spacing w:val="-8"/>
                                <w:sz w:val="28"/>
                                <w:szCs w:val="28"/>
                              </w:rPr>
                              <w:t>РЕСПУБЛИКИ ТАТАРСТАН</w:t>
                            </w:r>
                          </w:p>
                          <w:p w:rsidR="008A4FA5" w:rsidRPr="009E6C41" w:rsidRDefault="008A4FA5"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8A4FA5" w:rsidRPr="00A712A7" w:rsidRDefault="008A4FA5" w:rsidP="00DD005B">
                      <w:pPr>
                        <w:ind w:left="-142" w:right="-103"/>
                        <w:jc w:val="center"/>
                        <w:rPr>
                          <w:spacing w:val="-8"/>
                          <w:sz w:val="28"/>
                          <w:szCs w:val="28"/>
                        </w:rPr>
                      </w:pPr>
                      <w:r w:rsidRPr="00A712A7">
                        <w:rPr>
                          <w:spacing w:val="-8"/>
                          <w:sz w:val="28"/>
                          <w:szCs w:val="28"/>
                        </w:rPr>
                        <w:t>МИНИСТЕРСТВО КУЛЬТУРЫ</w:t>
                      </w:r>
                    </w:p>
                    <w:p w:rsidR="008A4FA5" w:rsidRPr="00236850" w:rsidRDefault="008A4FA5" w:rsidP="00DD005B">
                      <w:pPr>
                        <w:ind w:left="-142" w:right="-103"/>
                        <w:jc w:val="center"/>
                        <w:rPr>
                          <w:spacing w:val="-20"/>
                          <w:sz w:val="28"/>
                          <w:szCs w:val="28"/>
                        </w:rPr>
                      </w:pPr>
                      <w:r w:rsidRPr="00A712A7">
                        <w:rPr>
                          <w:spacing w:val="-8"/>
                          <w:sz w:val="28"/>
                          <w:szCs w:val="28"/>
                        </w:rPr>
                        <w:t>РЕСПУБЛИКИ ТАТАРСТАН</w:t>
                      </w:r>
                    </w:p>
                    <w:p w:rsidR="008A4FA5" w:rsidRPr="009E6C41" w:rsidRDefault="008A4FA5" w:rsidP="00DD005B">
                      <w:pPr>
                        <w:ind w:left="-142" w:right="-103"/>
                        <w:jc w:val="center"/>
                        <w:rPr>
                          <w:sz w:val="14"/>
                          <w:szCs w:val="14"/>
                        </w:rPr>
                      </w:pP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A5" w:rsidRPr="00557B07" w:rsidRDefault="008A4FA5" w:rsidP="00557B07">
                            <w:pPr>
                              <w:ind w:right="-148"/>
                              <w:jc w:val="center"/>
                              <w:rPr>
                                <w:spacing w:val="-8"/>
                                <w:kern w:val="6"/>
                                <w:sz w:val="28"/>
                                <w:szCs w:val="28"/>
                              </w:rPr>
                            </w:pPr>
                            <w:r w:rsidRPr="00557B07">
                              <w:rPr>
                                <w:spacing w:val="-8"/>
                                <w:kern w:val="6"/>
                                <w:sz w:val="28"/>
                                <w:szCs w:val="28"/>
                              </w:rPr>
                              <w:t>ТАТАРСТАН РЕСПУБЛИКАСЫ</w:t>
                            </w:r>
                          </w:p>
                          <w:p w:rsidR="008A4FA5" w:rsidRPr="00557B07" w:rsidRDefault="008A4FA5" w:rsidP="00557B07">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A4FA5" w:rsidRPr="00557B07" w:rsidRDefault="008A4FA5"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8A4FA5" w:rsidRPr="00557B07" w:rsidRDefault="008A4FA5" w:rsidP="00557B07">
                      <w:pPr>
                        <w:ind w:right="-148"/>
                        <w:jc w:val="center"/>
                        <w:rPr>
                          <w:spacing w:val="-8"/>
                          <w:kern w:val="6"/>
                          <w:sz w:val="28"/>
                          <w:szCs w:val="28"/>
                        </w:rPr>
                      </w:pPr>
                      <w:r w:rsidRPr="00557B07">
                        <w:rPr>
                          <w:spacing w:val="-8"/>
                          <w:kern w:val="6"/>
                          <w:sz w:val="28"/>
                          <w:szCs w:val="28"/>
                        </w:rPr>
                        <w:t>ТАТАРСТАН РЕСПУБЛИКАСЫ</w:t>
                      </w:r>
                    </w:p>
                    <w:p w:rsidR="008A4FA5" w:rsidRPr="00557B07" w:rsidRDefault="008A4FA5" w:rsidP="00557B07">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A4FA5" w:rsidRPr="00557B07" w:rsidRDefault="008A4FA5" w:rsidP="00557B07">
                      <w:pPr>
                        <w:ind w:right="-148"/>
                        <w:jc w:val="center"/>
                        <w:rPr>
                          <w:kern w:val="6"/>
                          <w:sz w:val="14"/>
                          <w:szCs w:val="14"/>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E48" w:rsidRDefault="00C35E48"/>
    <w:p w:rsidR="00C35E48" w:rsidRDefault="00C35E48"/>
    <w:p w:rsidR="00C35E48" w:rsidRDefault="00C35E48"/>
    <w:p w:rsidR="00C35E48" w:rsidRDefault="00C35E48"/>
    <w:p w:rsidR="00C35E48" w:rsidRPr="00AD22E3" w:rsidRDefault="00C35E48" w:rsidP="007737D2">
      <w:pPr>
        <w:rPr>
          <w:b/>
          <w:bCs/>
          <w:sz w:val="12"/>
          <w:szCs w:val="32"/>
        </w:rPr>
      </w:pPr>
    </w:p>
    <w:p w:rsidR="00C35E48" w:rsidRPr="00AD22E3" w:rsidRDefault="00C35E48" w:rsidP="00AD22E3">
      <w:pPr>
        <w:pBdr>
          <w:bottom w:val="single" w:sz="12" w:space="0" w:color="auto"/>
        </w:pBdr>
        <w:ind w:right="566"/>
        <w:jc w:val="center"/>
        <w:rPr>
          <w:sz w:val="6"/>
          <w:szCs w:val="6"/>
        </w:rPr>
      </w:pPr>
    </w:p>
    <w:p w:rsidR="00C35E48" w:rsidRPr="008F335F" w:rsidRDefault="00C35E48" w:rsidP="00A712A7">
      <w:pPr>
        <w:ind w:right="707"/>
        <w:rPr>
          <w:b/>
          <w:bCs/>
          <w:sz w:val="14"/>
          <w:szCs w:val="14"/>
        </w:rPr>
      </w:pPr>
    </w:p>
    <w:p w:rsidR="00F8117A" w:rsidRDefault="00AD22E3" w:rsidP="0058256E">
      <w:pPr>
        <w:tabs>
          <w:tab w:val="left" w:pos="5760"/>
        </w:tabs>
        <w:rPr>
          <w:b/>
          <w:sz w:val="28"/>
          <w:szCs w:val="28"/>
        </w:rPr>
      </w:pPr>
      <w:r>
        <w:rPr>
          <w:b/>
          <w:sz w:val="28"/>
          <w:szCs w:val="28"/>
        </w:rPr>
        <w:t xml:space="preserve">             </w:t>
      </w:r>
      <w:r w:rsidRPr="00AD22E3">
        <w:rPr>
          <w:b/>
          <w:sz w:val="28"/>
          <w:szCs w:val="28"/>
        </w:rPr>
        <w:t>ПРИКАЗ</w:t>
      </w:r>
      <w:r>
        <w:rPr>
          <w:b/>
          <w:sz w:val="28"/>
          <w:szCs w:val="28"/>
        </w:rPr>
        <w:t xml:space="preserve">                                                                           </w:t>
      </w:r>
      <w:r w:rsidRPr="00AD22E3">
        <w:rPr>
          <w:b/>
          <w:sz w:val="28"/>
          <w:szCs w:val="28"/>
        </w:rPr>
        <w:t xml:space="preserve"> БОЕРЫК</w:t>
      </w:r>
      <w:r w:rsidR="004C7FAE" w:rsidRPr="00AD22E3">
        <w:rPr>
          <w:b/>
          <w:sz w:val="28"/>
          <w:szCs w:val="28"/>
        </w:rPr>
        <w:t xml:space="preserve">  </w:t>
      </w:r>
    </w:p>
    <w:p w:rsidR="00AD22E3" w:rsidRDefault="00AD22E3" w:rsidP="0058256E">
      <w:pPr>
        <w:tabs>
          <w:tab w:val="left" w:pos="5760"/>
        </w:tabs>
        <w:rPr>
          <w:b/>
          <w:sz w:val="28"/>
          <w:szCs w:val="28"/>
        </w:rPr>
      </w:pPr>
    </w:p>
    <w:p w:rsidR="00C239CC" w:rsidRDefault="00AD22E3" w:rsidP="00176DD2">
      <w:pPr>
        <w:tabs>
          <w:tab w:val="left" w:pos="5760"/>
        </w:tabs>
        <w:rPr>
          <w:sz w:val="32"/>
          <w:szCs w:val="32"/>
        </w:rPr>
      </w:pPr>
      <w:r>
        <w:rPr>
          <w:sz w:val="32"/>
          <w:szCs w:val="32"/>
        </w:rPr>
        <w:t xml:space="preserve">     </w:t>
      </w:r>
      <w:r w:rsidRPr="00AD22E3">
        <w:rPr>
          <w:sz w:val="32"/>
          <w:szCs w:val="32"/>
        </w:rPr>
        <w:t>_______________                   г.</w:t>
      </w:r>
      <w:r>
        <w:rPr>
          <w:sz w:val="32"/>
          <w:szCs w:val="32"/>
        </w:rPr>
        <w:t xml:space="preserve"> </w:t>
      </w:r>
      <w:r w:rsidRPr="00AD22E3">
        <w:rPr>
          <w:sz w:val="32"/>
          <w:szCs w:val="32"/>
        </w:rPr>
        <w:t>Казань          №</w:t>
      </w:r>
      <w:r>
        <w:rPr>
          <w:sz w:val="32"/>
          <w:szCs w:val="32"/>
        </w:rPr>
        <w:t xml:space="preserve">  __</w:t>
      </w:r>
      <w:r w:rsidRPr="00AD22E3">
        <w:rPr>
          <w:sz w:val="32"/>
          <w:szCs w:val="32"/>
        </w:rPr>
        <w:t>_____________</w:t>
      </w:r>
    </w:p>
    <w:p w:rsidR="00CB677F" w:rsidRDefault="00CB677F"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8A4FA5" w:rsidRPr="008A4FA5">
        <w:t xml:space="preserve"> </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5225DF">
        <w:rPr>
          <w:rFonts w:eastAsia="Calibri"/>
          <w:sz w:val="28"/>
          <w:szCs w:val="28"/>
          <w:lang w:eastAsia="en-US"/>
        </w:rPr>
        <w:t>Мензелинский государственный т</w:t>
      </w:r>
      <w:r w:rsidR="005225DF">
        <w:rPr>
          <w:rFonts w:eastAsia="Calibri"/>
          <w:sz w:val="28"/>
          <w:szCs w:val="28"/>
          <w:lang w:eastAsia="en-US"/>
        </w:rPr>
        <w:t>а</w:t>
      </w:r>
      <w:r w:rsidR="005225DF">
        <w:rPr>
          <w:rFonts w:eastAsia="Calibri"/>
          <w:sz w:val="28"/>
          <w:szCs w:val="28"/>
          <w:lang w:eastAsia="en-US"/>
        </w:rPr>
        <w:t xml:space="preserve">тарский драматический театр имени </w:t>
      </w:r>
      <w:proofErr w:type="spellStart"/>
      <w:r w:rsidR="005225DF">
        <w:rPr>
          <w:rFonts w:eastAsia="Calibri"/>
          <w:sz w:val="28"/>
          <w:szCs w:val="28"/>
          <w:lang w:eastAsia="en-US"/>
        </w:rPr>
        <w:t>Сабира</w:t>
      </w:r>
      <w:proofErr w:type="spellEnd"/>
      <w:r w:rsidR="005225DF">
        <w:rPr>
          <w:rFonts w:eastAsia="Calibri"/>
          <w:sz w:val="28"/>
          <w:szCs w:val="28"/>
          <w:lang w:eastAsia="en-US"/>
        </w:rPr>
        <w:t xml:space="preserve"> </w:t>
      </w:r>
      <w:proofErr w:type="spellStart"/>
      <w:r w:rsidR="005225DF">
        <w:rPr>
          <w:rFonts w:eastAsia="Calibri"/>
          <w:sz w:val="28"/>
          <w:szCs w:val="28"/>
          <w:lang w:eastAsia="en-US"/>
        </w:rPr>
        <w:t>Амутбаева</w:t>
      </w:r>
      <w:proofErr w:type="spellEnd"/>
      <w:r w:rsidR="008A4FA5">
        <w:rPr>
          <w:rFonts w:eastAsia="Calibri"/>
          <w:sz w:val="28"/>
          <w:szCs w:val="28"/>
          <w:lang w:eastAsia="en-US"/>
        </w:rPr>
        <w:t>»</w:t>
      </w:r>
      <w:r w:rsidR="00B9343C" w:rsidRPr="00664A97">
        <w:rPr>
          <w:rFonts w:eastAsia="Calibri"/>
          <w:sz w:val="28"/>
          <w:szCs w:val="28"/>
          <w:lang w:eastAsia="en-US"/>
        </w:rPr>
        <w:t>, в отношении которого Министе</w:t>
      </w:r>
      <w:r w:rsidR="00B9343C" w:rsidRPr="00664A97">
        <w:rPr>
          <w:rFonts w:eastAsia="Calibri"/>
          <w:sz w:val="28"/>
          <w:szCs w:val="28"/>
          <w:lang w:eastAsia="en-US"/>
        </w:rPr>
        <w:t>р</w:t>
      </w:r>
      <w:r w:rsidR="00B9343C" w:rsidRPr="00664A97">
        <w:rPr>
          <w:rFonts w:eastAsia="Calibri"/>
          <w:sz w:val="28"/>
          <w:szCs w:val="28"/>
          <w:lang w:eastAsia="en-US"/>
        </w:rPr>
        <w:t>ство культуры Республики Татарстан осущест</w:t>
      </w:r>
      <w:r w:rsidR="00B9343C" w:rsidRPr="00664A97">
        <w:rPr>
          <w:rFonts w:eastAsia="Calibri"/>
          <w:sz w:val="28"/>
          <w:szCs w:val="28"/>
          <w:lang w:eastAsia="en-US"/>
        </w:rPr>
        <w:t>в</w:t>
      </w:r>
      <w:r w:rsidR="00B9343C" w:rsidRPr="00664A97">
        <w:rPr>
          <w:rFonts w:eastAsia="Calibri"/>
          <w:sz w:val="28"/>
          <w:szCs w:val="28"/>
          <w:lang w:eastAsia="en-US"/>
        </w:rPr>
        <w:t>ляет функции и полномочия учредителя, субс</w:t>
      </w:r>
      <w:r w:rsidR="00B9343C" w:rsidRPr="00664A97">
        <w:rPr>
          <w:rFonts w:eastAsia="Calibri"/>
          <w:sz w:val="28"/>
          <w:szCs w:val="28"/>
          <w:lang w:eastAsia="en-US"/>
        </w:rPr>
        <w:t>и</w:t>
      </w:r>
      <w:r w:rsidR="00B9343C" w:rsidRPr="00664A97">
        <w:rPr>
          <w:rFonts w:eastAsia="Calibri"/>
          <w:sz w:val="28"/>
          <w:szCs w:val="28"/>
          <w:lang w:eastAsia="en-US"/>
        </w:rPr>
        <w:t xml:space="preserve">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пункт</w:t>
      </w:r>
      <w:r w:rsidR="008375F7">
        <w:rPr>
          <w:rFonts w:eastAsia="Calibri"/>
          <w:sz w:val="28"/>
          <w:szCs w:val="28"/>
          <w:lang w:eastAsia="en-US"/>
        </w:rPr>
        <w:t>а</w:t>
      </w:r>
      <w:r w:rsidR="005761CC">
        <w:rPr>
          <w:rFonts w:eastAsia="Calibri"/>
          <w:sz w:val="28"/>
          <w:szCs w:val="28"/>
          <w:lang w:eastAsia="en-US"/>
        </w:rPr>
        <w:t xml:space="preserve"> </w:t>
      </w:r>
      <w:r w:rsidR="008375F7">
        <w:rPr>
          <w:rFonts w:eastAsia="Calibri"/>
          <w:sz w:val="28"/>
          <w:szCs w:val="28"/>
          <w:lang w:eastAsia="en-US"/>
        </w:rPr>
        <w:t>6.15</w:t>
      </w:r>
      <w:r w:rsidR="00494E9B">
        <w:rPr>
          <w:rFonts w:eastAsia="Calibri"/>
          <w:sz w:val="28"/>
          <w:szCs w:val="28"/>
          <w:lang w:eastAsia="en-US"/>
        </w:rPr>
        <w:t xml:space="preserve"> </w:t>
      </w:r>
      <w:r w:rsidR="005D7632" w:rsidRPr="00664A97">
        <w:rPr>
          <w:rFonts w:eastAsia="Calibri"/>
          <w:sz w:val="28"/>
          <w:szCs w:val="28"/>
          <w:lang w:eastAsia="en-US"/>
        </w:rPr>
        <w:t>Прилож</w:t>
      </w:r>
      <w:r w:rsidR="005D7632" w:rsidRPr="00664A97">
        <w:rPr>
          <w:rFonts w:eastAsia="Calibri"/>
          <w:sz w:val="28"/>
          <w:szCs w:val="28"/>
          <w:lang w:eastAsia="en-US"/>
        </w:rPr>
        <w:t>е</w:t>
      </w:r>
      <w:r w:rsidR="005D7632" w:rsidRPr="00664A97">
        <w:rPr>
          <w:rFonts w:eastAsia="Calibri"/>
          <w:sz w:val="28"/>
          <w:szCs w:val="28"/>
          <w:lang w:eastAsia="en-US"/>
        </w:rPr>
        <w:t xml:space="preserve">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программе</w:t>
      </w:r>
      <w:r w:rsidR="00FC68C6">
        <w:rPr>
          <w:rFonts w:eastAsia="Calibri"/>
          <w:sz w:val="28"/>
          <w:szCs w:val="28"/>
          <w:lang w:eastAsia="en-US"/>
        </w:rPr>
        <w:t xml:space="preserve"> «</w:t>
      </w:r>
      <w:r w:rsidR="00FC68C6" w:rsidRPr="00FC68C6">
        <w:rPr>
          <w:rFonts w:eastAsia="Calibri"/>
          <w:sz w:val="28"/>
          <w:szCs w:val="28"/>
          <w:lang w:eastAsia="en-US"/>
        </w:rPr>
        <w:t>Сохр</w:t>
      </w:r>
      <w:r w:rsidR="00FC68C6" w:rsidRPr="00FC68C6">
        <w:rPr>
          <w:rFonts w:eastAsia="Calibri"/>
          <w:sz w:val="28"/>
          <w:szCs w:val="28"/>
          <w:lang w:eastAsia="en-US"/>
        </w:rPr>
        <w:t>а</w:t>
      </w:r>
      <w:r w:rsidR="00FC68C6" w:rsidRPr="00FC68C6">
        <w:rPr>
          <w:rFonts w:eastAsia="Calibri"/>
          <w:sz w:val="28"/>
          <w:szCs w:val="28"/>
          <w:lang w:eastAsia="en-US"/>
        </w:rPr>
        <w:t>нение, изучение и развитие</w:t>
      </w:r>
      <w:r w:rsidR="00494E9B">
        <w:rPr>
          <w:rFonts w:eastAsia="Calibri"/>
          <w:sz w:val="28"/>
          <w:szCs w:val="28"/>
          <w:lang w:eastAsia="en-US"/>
        </w:rPr>
        <w:t xml:space="preserve"> </w:t>
      </w:r>
      <w:r w:rsidR="00FC68C6">
        <w:rPr>
          <w:rFonts w:eastAsia="Calibri"/>
          <w:sz w:val="28"/>
          <w:szCs w:val="28"/>
          <w:lang w:eastAsia="en-US"/>
        </w:rPr>
        <w:t xml:space="preserve">государственных языков </w:t>
      </w:r>
      <w:r w:rsidR="00FC68C6" w:rsidRPr="00FC68C6">
        <w:rPr>
          <w:rFonts w:eastAsia="Calibri"/>
          <w:sz w:val="28"/>
          <w:szCs w:val="28"/>
          <w:lang w:eastAsia="en-US"/>
        </w:rPr>
        <w:t>Республики Татарстан и других</w:t>
      </w:r>
      <w:r w:rsidR="00FC68C6">
        <w:rPr>
          <w:rFonts w:eastAsia="Calibri"/>
          <w:sz w:val="28"/>
          <w:szCs w:val="28"/>
          <w:lang w:eastAsia="en-US"/>
        </w:rPr>
        <w:t xml:space="preserve"> </w:t>
      </w:r>
      <w:r w:rsidR="00FC68C6" w:rsidRPr="00FC68C6">
        <w:rPr>
          <w:rFonts w:eastAsia="Calibri"/>
          <w:sz w:val="28"/>
          <w:szCs w:val="28"/>
          <w:lang w:eastAsia="en-US"/>
        </w:rPr>
        <w:t>языков</w:t>
      </w:r>
      <w:proofErr w:type="gramEnd"/>
      <w:r w:rsidR="00FC68C6" w:rsidRPr="00FC68C6">
        <w:rPr>
          <w:rFonts w:eastAsia="Calibri"/>
          <w:sz w:val="28"/>
          <w:szCs w:val="28"/>
          <w:lang w:eastAsia="en-US"/>
        </w:rPr>
        <w:t xml:space="preserve"> </w:t>
      </w:r>
      <w:proofErr w:type="gramStart"/>
      <w:r w:rsidR="00FC68C6" w:rsidRPr="00FC68C6">
        <w:rPr>
          <w:rFonts w:eastAsia="Calibri"/>
          <w:sz w:val="28"/>
          <w:szCs w:val="28"/>
          <w:lang w:eastAsia="en-US"/>
        </w:rPr>
        <w:t>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 xml:space="preserve">абинета </w:t>
      </w:r>
      <w:r w:rsidR="00B44C37" w:rsidRPr="00B44C37">
        <w:rPr>
          <w:rFonts w:eastAsia="Calibri"/>
          <w:sz w:val="28"/>
          <w:szCs w:val="28"/>
          <w:lang w:eastAsia="en-US"/>
        </w:rPr>
        <w:t>М</w:t>
      </w:r>
      <w:r w:rsidR="00B44C37">
        <w:rPr>
          <w:rFonts w:eastAsia="Calibri"/>
          <w:sz w:val="28"/>
          <w:szCs w:val="28"/>
          <w:lang w:eastAsia="en-US"/>
        </w:rPr>
        <w:t>и</w:t>
      </w:r>
      <w:r w:rsidR="00B44C37">
        <w:rPr>
          <w:rFonts w:eastAsia="Calibri"/>
          <w:sz w:val="28"/>
          <w:szCs w:val="28"/>
          <w:lang w:eastAsia="en-US"/>
        </w:rPr>
        <w:t>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осударственной пр</w:t>
      </w:r>
      <w:r w:rsidR="00B44C37" w:rsidRPr="00B44C37">
        <w:rPr>
          <w:rFonts w:eastAsia="Calibri"/>
          <w:sz w:val="28"/>
          <w:szCs w:val="28"/>
          <w:lang w:eastAsia="en-US"/>
        </w:rPr>
        <w:t>о</w:t>
      </w:r>
      <w:r w:rsidR="00B44C37" w:rsidRPr="00B44C37">
        <w:rPr>
          <w:rFonts w:eastAsia="Calibri"/>
          <w:sz w:val="28"/>
          <w:szCs w:val="28"/>
          <w:lang w:eastAsia="en-US"/>
        </w:rPr>
        <w:t xml:space="preserve">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w:t>
      </w:r>
      <w:r w:rsidR="00B44C37" w:rsidRPr="00B44C37">
        <w:rPr>
          <w:rFonts w:eastAsia="Calibri"/>
          <w:sz w:val="28"/>
          <w:szCs w:val="28"/>
          <w:lang w:eastAsia="en-US"/>
        </w:rPr>
        <w:t>с</w:t>
      </w:r>
      <w:r w:rsidR="00B44C37" w:rsidRPr="00B44C37">
        <w:rPr>
          <w:rFonts w:eastAsia="Calibri"/>
          <w:sz w:val="28"/>
          <w:szCs w:val="28"/>
          <w:lang w:eastAsia="en-US"/>
        </w:rPr>
        <w:t>ударственных языков Республики Татарстан и других языков в Республике Татар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абзацем вторым пункта 1 статьи 78¹ Бюджетного кодекса Ро</w:t>
      </w:r>
      <w:r w:rsidR="005D7632" w:rsidRPr="00664A97">
        <w:rPr>
          <w:rFonts w:eastAsia="Calibri"/>
          <w:sz w:val="28"/>
          <w:szCs w:val="28"/>
          <w:lang w:eastAsia="en-US"/>
        </w:rPr>
        <w:t>с</w:t>
      </w:r>
      <w:r w:rsidR="005D7632" w:rsidRPr="00664A97">
        <w:rPr>
          <w:rFonts w:eastAsia="Calibri"/>
          <w:sz w:val="28"/>
          <w:szCs w:val="28"/>
          <w:lang w:eastAsia="en-US"/>
        </w:rPr>
        <w:t>сийской Федерации»</w:t>
      </w:r>
      <w:proofErr w:type="gramEnd"/>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Pr>
          <w:rFonts w:eastAsia="Calibri"/>
          <w:sz w:val="28"/>
          <w:szCs w:val="28"/>
          <w:lang w:eastAsia="en-US"/>
        </w:rPr>
        <w:t xml:space="preserve"> </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программы «Сохранение,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 xml:space="preserve">сти Республики Татарстан, уполномоченных на установление порядка определения </w:t>
      </w:r>
      <w:r w:rsidRPr="00664A97">
        <w:rPr>
          <w:rFonts w:eastAsia="Calibri"/>
          <w:sz w:val="28"/>
          <w:szCs w:val="28"/>
          <w:lang w:eastAsia="en-US"/>
        </w:rPr>
        <w:lastRenderedPageBreak/>
        <w:t>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ным бюджетным и автономным учреждениям Республики Татарстан субсидий на иные цели, и о</w:t>
      </w:r>
      <w:proofErr w:type="gramEnd"/>
      <w:r w:rsidRPr="00664A97">
        <w:rPr>
          <w:rFonts w:eastAsia="Calibri"/>
          <w:sz w:val="28"/>
          <w:szCs w:val="28"/>
          <w:lang w:eastAsia="en-US"/>
        </w:rPr>
        <w:t xml:space="preserve"> признании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Pr="00664A97">
        <w:rPr>
          <w:rFonts w:eastAsia="Calibri"/>
          <w:sz w:val="28"/>
          <w:szCs w:val="28"/>
          <w:lang w:eastAsia="en-US"/>
        </w:rPr>
        <w:t xml:space="preserve"> </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5225DF">
        <w:rPr>
          <w:rFonts w:eastAsia="Calibri"/>
          <w:sz w:val="28"/>
          <w:szCs w:val="28"/>
          <w:lang w:eastAsia="en-US"/>
        </w:rPr>
        <w:t xml:space="preserve">Мензелинский государственный татарский драматический театр имени </w:t>
      </w:r>
      <w:proofErr w:type="spellStart"/>
      <w:r w:rsidR="005225DF">
        <w:rPr>
          <w:rFonts w:eastAsia="Calibri"/>
          <w:sz w:val="28"/>
          <w:szCs w:val="28"/>
          <w:lang w:eastAsia="en-US"/>
        </w:rPr>
        <w:t>Сабира</w:t>
      </w:r>
      <w:proofErr w:type="spellEnd"/>
      <w:r w:rsidR="005225DF">
        <w:rPr>
          <w:rFonts w:eastAsia="Calibri"/>
          <w:sz w:val="28"/>
          <w:szCs w:val="28"/>
          <w:lang w:eastAsia="en-US"/>
        </w:rPr>
        <w:t xml:space="preserve"> </w:t>
      </w:r>
      <w:proofErr w:type="spellStart"/>
      <w:r w:rsidR="005225DF">
        <w:rPr>
          <w:rFonts w:eastAsia="Calibri"/>
          <w:sz w:val="28"/>
          <w:szCs w:val="28"/>
          <w:lang w:eastAsia="en-US"/>
        </w:rPr>
        <w:t>Амутбаева</w:t>
      </w:r>
      <w:proofErr w:type="spellEnd"/>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Тата</w:t>
      </w:r>
      <w:r w:rsidR="008375F7" w:rsidRPr="008375F7">
        <w:rPr>
          <w:sz w:val="28"/>
          <w:szCs w:val="28"/>
        </w:rPr>
        <w:t>р</w:t>
      </w:r>
      <w:r w:rsidR="008375F7" w:rsidRPr="008375F7">
        <w:rPr>
          <w:sz w:val="28"/>
          <w:szCs w:val="28"/>
        </w:rPr>
        <w:t>стан осуществляет функции и полномочия учредителя, субсидии  из бюджета Республ</w:t>
      </w:r>
      <w:r w:rsidR="008375F7" w:rsidRPr="008375F7">
        <w:rPr>
          <w:sz w:val="28"/>
          <w:szCs w:val="28"/>
        </w:rPr>
        <w:t>и</w:t>
      </w:r>
      <w:r w:rsidR="008375F7" w:rsidRPr="008375F7">
        <w:rPr>
          <w:sz w:val="28"/>
          <w:szCs w:val="28"/>
        </w:rPr>
        <w:t>ки Татарстан на обеспечение реализации пункта 6.15 Приложения № 2 к Госуда</w:t>
      </w:r>
      <w:r w:rsidR="008375F7" w:rsidRPr="008375F7">
        <w:rPr>
          <w:sz w:val="28"/>
          <w:szCs w:val="28"/>
        </w:rPr>
        <w:t>р</w:t>
      </w:r>
      <w:r w:rsidR="008375F7" w:rsidRPr="008375F7">
        <w:rPr>
          <w:sz w:val="28"/>
          <w:szCs w:val="28"/>
        </w:rPr>
        <w:t>ственной программе «Сохранение, изучение и развитие государственных языков Республики Татарстан и других языков</w:t>
      </w:r>
      <w:proofErr w:type="gramEnd"/>
      <w:r w:rsidR="008375F7" w:rsidRPr="008375F7">
        <w:rPr>
          <w:sz w:val="28"/>
          <w:szCs w:val="28"/>
        </w:rPr>
        <w:t xml:space="preserve"> </w:t>
      </w:r>
      <w:proofErr w:type="gramStart"/>
      <w:r w:rsidR="008375F7" w:rsidRPr="008375F7">
        <w:rPr>
          <w:sz w:val="28"/>
          <w:szCs w:val="28"/>
        </w:rPr>
        <w:t>в Республике Татарстан на 2023 - 2030 г</w:t>
      </w:r>
      <w:r w:rsidR="008375F7" w:rsidRPr="008375F7">
        <w:rPr>
          <w:sz w:val="28"/>
          <w:szCs w:val="28"/>
        </w:rPr>
        <w:t>о</w:t>
      </w:r>
      <w:r w:rsidR="008375F7" w:rsidRPr="008375F7">
        <w:rPr>
          <w:sz w:val="28"/>
          <w:szCs w:val="28"/>
        </w:rPr>
        <w:t>ды», утвержденной постановлением Кабинета Ми-</w:t>
      </w:r>
      <w:proofErr w:type="spellStart"/>
      <w:r w:rsidR="008375F7" w:rsidRPr="008375F7">
        <w:rPr>
          <w:sz w:val="28"/>
          <w:szCs w:val="28"/>
        </w:rPr>
        <w:t>нистров</w:t>
      </w:r>
      <w:proofErr w:type="spellEnd"/>
      <w:r w:rsidR="008375F7" w:rsidRPr="008375F7">
        <w:rPr>
          <w:sz w:val="28"/>
          <w:szCs w:val="28"/>
        </w:rPr>
        <w:t xml:space="preserve"> Республики Татарстан от 10.09.2020 № 821 «Об утверждении Государственной программы «Сохранение, из</w:t>
      </w:r>
      <w:r w:rsidR="008375F7" w:rsidRPr="008375F7">
        <w:rPr>
          <w:sz w:val="28"/>
          <w:szCs w:val="28"/>
        </w:rPr>
        <w:t>у</w:t>
      </w:r>
      <w:r w:rsidR="008375F7"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008375F7" w:rsidRPr="008375F7">
        <w:rPr>
          <w:sz w:val="28"/>
          <w:szCs w:val="28"/>
        </w:rPr>
        <w:t>к</w:t>
      </w:r>
      <w:r w:rsidR="008375F7" w:rsidRPr="008375F7">
        <w:rPr>
          <w:sz w:val="28"/>
          <w:szCs w:val="28"/>
        </w:rPr>
        <w:t>та 1 статьи 78¹ Бюджетного кодекса Российской Федерации»</w:t>
      </w:r>
      <w:proofErr w:type="gramEnd"/>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152914">
        <w:rPr>
          <w:rFonts w:eastAsia="Calibri"/>
          <w:sz w:val="28"/>
          <w:szCs w:val="28"/>
          <w:lang w:eastAsia="en-US"/>
        </w:rPr>
        <w:t xml:space="preserve"> </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5225DF">
        <w:rPr>
          <w:rFonts w:eastAsia="Calibri"/>
          <w:sz w:val="28"/>
          <w:szCs w:val="28"/>
          <w:lang w:eastAsia="en-US"/>
        </w:rPr>
        <w:t xml:space="preserve">Мензелинский государственный татарский драматический театр имени </w:t>
      </w:r>
      <w:proofErr w:type="spellStart"/>
      <w:r w:rsidR="005225DF">
        <w:rPr>
          <w:rFonts w:eastAsia="Calibri"/>
          <w:sz w:val="28"/>
          <w:szCs w:val="28"/>
          <w:lang w:eastAsia="en-US"/>
        </w:rPr>
        <w:t>Сабира</w:t>
      </w:r>
      <w:proofErr w:type="spellEnd"/>
      <w:r w:rsidR="005225DF">
        <w:rPr>
          <w:rFonts w:eastAsia="Calibri"/>
          <w:sz w:val="28"/>
          <w:szCs w:val="28"/>
          <w:lang w:eastAsia="en-US"/>
        </w:rPr>
        <w:t xml:space="preserve"> </w:t>
      </w:r>
      <w:proofErr w:type="spellStart"/>
      <w:r w:rsidR="005225DF">
        <w:rPr>
          <w:rFonts w:eastAsia="Calibri"/>
          <w:sz w:val="28"/>
          <w:szCs w:val="28"/>
          <w:lang w:eastAsia="en-US"/>
        </w:rPr>
        <w:t>Амутбаева</w:t>
      </w:r>
      <w:proofErr w:type="spellEnd"/>
      <w:r w:rsidR="00152914">
        <w:rPr>
          <w:rFonts w:eastAsia="Calibri"/>
          <w:sz w:val="28"/>
          <w:szCs w:val="28"/>
          <w:lang w:eastAsia="en-US"/>
        </w:rPr>
        <w:t>»</w:t>
      </w:r>
      <w:r w:rsidRPr="008375F7">
        <w:rPr>
          <w:sz w:val="28"/>
          <w:szCs w:val="28"/>
        </w:rPr>
        <w:t>, в отношении кот</w:t>
      </w:r>
      <w:r w:rsidRPr="008375F7">
        <w:rPr>
          <w:sz w:val="28"/>
          <w:szCs w:val="28"/>
        </w:rPr>
        <w:t>о</w:t>
      </w:r>
      <w:r w:rsidRPr="008375F7">
        <w:rPr>
          <w:sz w:val="28"/>
          <w:szCs w:val="28"/>
        </w:rPr>
        <w:t>рого Министерство культуры Республики Татарстан осуществляет функции и полном</w:t>
      </w:r>
      <w:r w:rsidRPr="008375F7">
        <w:rPr>
          <w:sz w:val="28"/>
          <w:szCs w:val="28"/>
        </w:rPr>
        <w:t>о</w:t>
      </w:r>
      <w:r w:rsidRPr="008375F7">
        <w:rPr>
          <w:sz w:val="28"/>
          <w:szCs w:val="28"/>
        </w:rPr>
        <w:t>чия учредителя, субсидии  из бюджета Республики Татарстан на обеспечение реал</w:t>
      </w:r>
      <w:r w:rsidRPr="008375F7">
        <w:rPr>
          <w:sz w:val="28"/>
          <w:szCs w:val="28"/>
        </w:rPr>
        <w:t>и</w:t>
      </w:r>
      <w:r w:rsidRPr="008375F7">
        <w:rPr>
          <w:sz w:val="28"/>
          <w:szCs w:val="28"/>
        </w:rPr>
        <w:t>зации пункта 6.15 Приложения № 2 к Государственной программе «Сохранение, изучение и развитие государственных языков Республики Татарстан и других яз</w:t>
      </w:r>
      <w:r w:rsidRPr="008375F7">
        <w:rPr>
          <w:sz w:val="28"/>
          <w:szCs w:val="28"/>
        </w:rPr>
        <w:t>ы</w:t>
      </w:r>
      <w:r w:rsidRPr="008375F7">
        <w:rPr>
          <w:sz w:val="28"/>
          <w:szCs w:val="28"/>
        </w:rPr>
        <w:t>ков в Республике Татарстан</w:t>
      </w:r>
      <w:proofErr w:type="gramEnd"/>
      <w:r w:rsidRPr="008375F7">
        <w:rPr>
          <w:sz w:val="28"/>
          <w:szCs w:val="28"/>
        </w:rPr>
        <w:t xml:space="preserve"> на 2023 - 2030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w:t>
      </w:r>
      <w:r w:rsidRPr="008375F7">
        <w:rPr>
          <w:sz w:val="28"/>
          <w:szCs w:val="28"/>
        </w:rPr>
        <w:t>о</w:t>
      </w:r>
      <w:r w:rsidRPr="008375F7">
        <w:rPr>
          <w:sz w:val="28"/>
          <w:szCs w:val="28"/>
        </w:rPr>
        <w:t>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9E4742" w:rsidRPr="009E4742">
        <w:t xml:space="preserve"> </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5225DF">
        <w:rPr>
          <w:rFonts w:eastAsia="Calibri"/>
          <w:sz w:val="28"/>
          <w:szCs w:val="28"/>
          <w:lang w:eastAsia="en-US"/>
        </w:rPr>
        <w:t xml:space="preserve">Мензелинский государственный татарский драматический театр имени </w:t>
      </w:r>
      <w:proofErr w:type="spellStart"/>
      <w:r w:rsidR="005225DF">
        <w:rPr>
          <w:rFonts w:eastAsia="Calibri"/>
          <w:sz w:val="28"/>
          <w:szCs w:val="28"/>
          <w:lang w:eastAsia="en-US"/>
        </w:rPr>
        <w:t>Сабира</w:t>
      </w:r>
      <w:proofErr w:type="spellEnd"/>
      <w:r w:rsidR="005225DF">
        <w:rPr>
          <w:rFonts w:eastAsia="Calibri"/>
          <w:sz w:val="28"/>
          <w:szCs w:val="28"/>
          <w:lang w:eastAsia="en-US"/>
        </w:rPr>
        <w:t xml:space="preserve"> </w:t>
      </w:r>
      <w:proofErr w:type="spellStart"/>
      <w:r w:rsidR="005225DF">
        <w:rPr>
          <w:rFonts w:eastAsia="Calibri"/>
          <w:sz w:val="28"/>
          <w:szCs w:val="28"/>
          <w:lang w:eastAsia="en-US"/>
        </w:rPr>
        <w:t>Амутбаева</w:t>
      </w:r>
      <w:proofErr w:type="spellEnd"/>
      <w:r w:rsidR="00152914">
        <w:rPr>
          <w:rFonts w:eastAsia="Calibri"/>
          <w:sz w:val="28"/>
          <w:szCs w:val="28"/>
          <w:lang w:eastAsia="en-US"/>
        </w:rPr>
        <w:t>»</w:t>
      </w:r>
      <w:r w:rsidR="00152914" w:rsidRPr="00664A97">
        <w:rPr>
          <w:sz w:val="28"/>
          <w:szCs w:val="28"/>
        </w:rPr>
        <w:t xml:space="preserve"> </w:t>
      </w:r>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A3444">
        <w:rPr>
          <w:sz w:val="28"/>
          <w:szCs w:val="28"/>
        </w:rPr>
        <w:t xml:space="preserve"> </w:t>
      </w:r>
      <w:r w:rsidR="007B344B" w:rsidRPr="00125737">
        <w:rPr>
          <w:sz w:val="28"/>
          <w:szCs w:val="28"/>
        </w:rPr>
        <w:t>Приложения № 2 к Государственной программе «Сохранение, изучение и развитие</w:t>
      </w:r>
      <w:r w:rsidR="007B344B">
        <w:rPr>
          <w:sz w:val="28"/>
          <w:szCs w:val="28"/>
        </w:rPr>
        <w:t xml:space="preserve"> </w:t>
      </w:r>
      <w:r w:rsidR="007B344B" w:rsidRPr="00125737">
        <w:rPr>
          <w:sz w:val="28"/>
          <w:szCs w:val="28"/>
        </w:rPr>
        <w:t>государственных языков Республики Татарстан</w:t>
      </w:r>
      <w:proofErr w:type="gramEnd"/>
      <w:r w:rsidR="007B344B" w:rsidRPr="00125737">
        <w:rPr>
          <w:sz w:val="28"/>
          <w:szCs w:val="28"/>
        </w:rPr>
        <w:t xml:space="preserve"> и других языков в Республике Т</w:t>
      </w:r>
      <w:r w:rsidR="007B344B" w:rsidRPr="00125737">
        <w:rPr>
          <w:sz w:val="28"/>
          <w:szCs w:val="28"/>
        </w:rPr>
        <w:t>а</w:t>
      </w:r>
      <w:r w:rsidR="007B344B" w:rsidRPr="00125737">
        <w:rPr>
          <w:sz w:val="28"/>
          <w:szCs w:val="28"/>
        </w:rPr>
        <w:t>тарстан на 2023 - 2030 годы», утвержденной постановлением Кабинета Министров Республики Татарстан от 10.09.2020 № 821 «Об утверждении Государственной пр</w:t>
      </w:r>
      <w:r w:rsidR="007B344B" w:rsidRPr="00125737">
        <w:rPr>
          <w:sz w:val="28"/>
          <w:szCs w:val="28"/>
        </w:rPr>
        <w:t>о</w:t>
      </w:r>
      <w:r w:rsidR="007B344B" w:rsidRPr="00125737">
        <w:rPr>
          <w:sz w:val="28"/>
          <w:szCs w:val="28"/>
        </w:rPr>
        <w:t>граммы «Сохранение, изучение и развитие государственных языков Республики Т</w:t>
      </w:r>
      <w:r w:rsidR="007B344B" w:rsidRPr="00125737">
        <w:rPr>
          <w:sz w:val="28"/>
          <w:szCs w:val="28"/>
        </w:rPr>
        <w:t>а</w:t>
      </w:r>
      <w:r w:rsidR="007B344B" w:rsidRPr="00125737">
        <w:rPr>
          <w:sz w:val="28"/>
          <w:szCs w:val="28"/>
        </w:rPr>
        <w:t>тарстан и других языков в Республике Татарстан на 2023 - 2030 годы»</w:t>
      </w:r>
      <w:r w:rsidR="007B344B" w:rsidRPr="00664A97">
        <w:t xml:space="preserve"> </w:t>
      </w:r>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w:t>
      </w:r>
      <w:r w:rsidR="007B344B" w:rsidRPr="00664A97">
        <w:rPr>
          <w:sz w:val="28"/>
          <w:szCs w:val="28"/>
        </w:rPr>
        <w:t>о</w:t>
      </w:r>
      <w:r w:rsidR="007B344B" w:rsidRPr="00664A97">
        <w:rPr>
          <w:sz w:val="28"/>
          <w:szCs w:val="28"/>
        </w:rPr>
        <w:t>рядок).</w:t>
      </w:r>
    </w:p>
    <w:p w:rsidR="00C56EB8" w:rsidRPr="00664A97" w:rsidRDefault="00C56EB8" w:rsidP="007B344B">
      <w:pPr>
        <w:overflowPunct/>
        <w:ind w:firstLine="709"/>
        <w:jc w:val="both"/>
        <w:textAlignment w:val="auto"/>
        <w:rPr>
          <w:sz w:val="28"/>
          <w:szCs w:val="28"/>
        </w:rPr>
      </w:pPr>
      <w:r w:rsidRPr="00664A97">
        <w:rPr>
          <w:sz w:val="28"/>
          <w:szCs w:val="28"/>
        </w:rPr>
        <w:t xml:space="preserve">2. Основные понятия, используемые в </w:t>
      </w:r>
      <w:proofErr w:type="gramStart"/>
      <w:r w:rsidRPr="00664A97">
        <w:rPr>
          <w:sz w:val="28"/>
          <w:szCs w:val="28"/>
        </w:rPr>
        <w:t>настоящем</w:t>
      </w:r>
      <w:proofErr w:type="gramEnd"/>
      <w:r w:rsidRPr="00664A97">
        <w:rPr>
          <w:sz w:val="28"/>
          <w:szCs w:val="28"/>
        </w:rPr>
        <w:t xml:space="preserve">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w:t>
      </w:r>
      <w:r w:rsidR="00CB3246">
        <w:rPr>
          <w:sz w:val="28"/>
          <w:szCs w:val="28"/>
        </w:rPr>
        <w:t xml:space="preserve"> </w:t>
      </w:r>
      <w:r w:rsidR="00CB3246" w:rsidRPr="00125737">
        <w:rPr>
          <w:sz w:val="28"/>
          <w:szCs w:val="28"/>
        </w:rPr>
        <w:t>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утверждении Государственной программы «Сохранение, изучение и развитие гос</w:t>
      </w:r>
      <w:r w:rsidR="00CB3246" w:rsidRPr="00125737">
        <w:rPr>
          <w:sz w:val="28"/>
          <w:szCs w:val="28"/>
        </w:rPr>
        <w:t>у</w:t>
      </w:r>
      <w:r w:rsidR="00CB3246" w:rsidRPr="00125737">
        <w:rPr>
          <w:sz w:val="28"/>
          <w:szCs w:val="28"/>
        </w:rPr>
        <w:t>дарственных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lastRenderedPageBreak/>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t xml:space="preserve">субсидия </w:t>
      </w:r>
      <w:r w:rsidRPr="00664A97">
        <w:rPr>
          <w:sz w:val="28"/>
          <w:szCs w:val="28"/>
        </w:rPr>
        <w:sym w:font="Symbol" w:char="F02D"/>
      </w:r>
      <w:r w:rsidRPr="00664A97">
        <w:rPr>
          <w:sz w:val="28"/>
          <w:szCs w:val="28"/>
        </w:rPr>
        <w:t xml:space="preserve"> </w:t>
      </w:r>
      <w:proofErr w:type="spellStart"/>
      <w:proofErr w:type="gramStart"/>
      <w:r w:rsidRPr="00664A97">
        <w:rPr>
          <w:sz w:val="28"/>
          <w:szCs w:val="28"/>
        </w:rPr>
        <w:t>субсидия</w:t>
      </w:r>
      <w:proofErr w:type="spellEnd"/>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 xml:space="preserve">Иные понятия и термины, используемые в </w:t>
      </w:r>
      <w:proofErr w:type="gramStart"/>
      <w:r w:rsidRPr="00664A97">
        <w:rPr>
          <w:sz w:val="28"/>
          <w:szCs w:val="28"/>
        </w:rPr>
        <w:t>настоящем</w:t>
      </w:r>
      <w:proofErr w:type="gramEnd"/>
      <w:r w:rsidRPr="00664A97">
        <w:rPr>
          <w:sz w:val="28"/>
          <w:szCs w:val="28"/>
        </w:rPr>
        <w:t xml:space="preserve">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w:t>
      </w:r>
      <w:proofErr w:type="gramStart"/>
      <w:r w:rsidRPr="00664A97">
        <w:rPr>
          <w:sz w:val="28"/>
          <w:szCs w:val="28"/>
        </w:rPr>
        <w:t>целях</w:t>
      </w:r>
      <w:proofErr w:type="gramEnd"/>
      <w:r w:rsidRPr="00664A97">
        <w:rPr>
          <w:sz w:val="28"/>
          <w:szCs w:val="28"/>
        </w:rPr>
        <w:t xml:space="preserve">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1617A5" w:rsidRPr="001617A5">
        <w:t xml:space="preserve"> </w:t>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справку налогового органа по состоянию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proofErr w:type="gramStart"/>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w:t>
      </w:r>
      <w:proofErr w:type="gramEnd"/>
      <w:r w:rsidRPr="00664A97">
        <w:rPr>
          <w:sz w:val="28"/>
          <w:szCs w:val="28"/>
        </w:rPr>
        <w:t xml:space="preserve"> </w:t>
      </w:r>
      <w:proofErr w:type="gramStart"/>
      <w:r w:rsidRPr="00664A97">
        <w:rPr>
          <w:sz w:val="28"/>
          <w:szCs w:val="28"/>
        </w:rPr>
        <w:t>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lastRenderedPageBreak/>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roofErr w:type="gramEnd"/>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664A97">
        <w:rPr>
          <w:sz w:val="28"/>
          <w:szCs w:val="28"/>
        </w:rPr>
        <w:t>б</w:t>
      </w:r>
      <w:r w:rsidRPr="00664A97">
        <w:rPr>
          <w:sz w:val="28"/>
          <w:szCs w:val="28"/>
        </w:rPr>
        <w:t xml:space="preserve">ственноручно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 xml:space="preserve">ленной в соответствии с пунктом 4 настоящего Порядка, рассматривает ее, </w:t>
      </w:r>
      <w:proofErr w:type="gramStart"/>
      <w:r w:rsidRPr="00664A97">
        <w:rPr>
          <w:sz w:val="28"/>
          <w:szCs w:val="28"/>
        </w:rPr>
        <w:t>провер</w:t>
      </w:r>
      <w:r w:rsidRPr="00664A97">
        <w:rPr>
          <w:sz w:val="28"/>
          <w:szCs w:val="28"/>
        </w:rPr>
        <w:t>я</w:t>
      </w:r>
      <w:r w:rsidRPr="00664A97">
        <w:rPr>
          <w:sz w:val="28"/>
          <w:szCs w:val="28"/>
        </w:rPr>
        <w:t>ет полноту и достоверность содержащихся в ней сведений и уведомляет</w:t>
      </w:r>
      <w:proofErr w:type="gramEnd"/>
      <w:r w:rsidRPr="00664A97">
        <w:rPr>
          <w:sz w:val="28"/>
          <w:szCs w:val="28"/>
        </w:rPr>
        <w:t xml:space="preserve">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Основаниями для отказа в </w:t>
      </w:r>
      <w:proofErr w:type="gramStart"/>
      <w:r w:rsidRPr="00664A97">
        <w:rPr>
          <w:sz w:val="28"/>
          <w:szCs w:val="28"/>
        </w:rPr>
        <w:t>предоставлении</w:t>
      </w:r>
      <w:proofErr w:type="gramEnd"/>
      <w:r w:rsidRPr="00664A97">
        <w:rPr>
          <w:sz w:val="28"/>
          <w:szCs w:val="28"/>
        </w:rPr>
        <w:t xml:space="preserve">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 xml:space="preserve">несоответствие представленных Учреждением документов требованиям, определенным в </w:t>
      </w:r>
      <w:proofErr w:type="gramStart"/>
      <w:r w:rsidRPr="00664A97">
        <w:rPr>
          <w:sz w:val="28"/>
          <w:szCs w:val="28"/>
        </w:rPr>
        <w:t>пункте</w:t>
      </w:r>
      <w:proofErr w:type="gramEnd"/>
      <w:r w:rsidRPr="00664A97">
        <w:rPr>
          <w:sz w:val="28"/>
          <w:szCs w:val="28"/>
        </w:rPr>
        <w:t xml:space="preserve">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lastRenderedPageBreak/>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 xml:space="preserve">запрет на расторжение соглашения Учреждением в одностороннем </w:t>
      </w:r>
      <w:proofErr w:type="gramStart"/>
      <w:r w:rsidRPr="00664A97">
        <w:rPr>
          <w:sz w:val="28"/>
          <w:szCs w:val="28"/>
        </w:rPr>
        <w:t>порядке</w:t>
      </w:r>
      <w:proofErr w:type="gramEnd"/>
      <w:r w:rsidRPr="00664A97">
        <w:rPr>
          <w:sz w:val="28"/>
          <w:szCs w:val="28"/>
        </w:rPr>
        <w:t>.</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7D7F6828" wp14:editId="1BCBD1D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 xml:space="preserve">альных активов, непроизведенных активов, материальных запасов, регулируемые </w:t>
      </w:r>
      <w:r w:rsidRPr="00664A97">
        <w:rPr>
          <w:sz w:val="28"/>
          <w:szCs w:val="28"/>
        </w:rPr>
        <w:lastRenderedPageBreak/>
        <w:t>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 xml:space="preserve">8.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proofErr w:type="gramStart"/>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64A97">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10"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1"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 xml:space="preserve">10. Учредитель перечисляет субсидию в полном </w:t>
      </w:r>
      <w:proofErr w:type="gramStart"/>
      <w:r w:rsidRPr="00664A97">
        <w:rPr>
          <w:sz w:val="28"/>
          <w:szCs w:val="28"/>
        </w:rPr>
        <w:t>объеме</w:t>
      </w:r>
      <w:proofErr w:type="gramEnd"/>
      <w:r w:rsidRPr="00664A97">
        <w:rPr>
          <w:sz w:val="28"/>
          <w:szCs w:val="28"/>
        </w:rPr>
        <w:t xml:space="preserve">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lastRenderedPageBreak/>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 xml:space="preserve">тов), определенных в </w:t>
      </w:r>
      <w:proofErr w:type="gramStart"/>
      <w:r w:rsidRPr="00664A97">
        <w:rPr>
          <w:rFonts w:eastAsia="Calibri"/>
          <w:sz w:val="28"/>
          <w:szCs w:val="28"/>
          <w:lang w:eastAsia="en-US"/>
        </w:rPr>
        <w:t>приложении</w:t>
      </w:r>
      <w:proofErr w:type="gramEnd"/>
      <w:r w:rsidRPr="00664A97">
        <w:rPr>
          <w:rFonts w:eastAsia="Calibri"/>
          <w:sz w:val="28"/>
          <w:szCs w:val="28"/>
          <w:lang w:eastAsia="en-US"/>
        </w:rPr>
        <w:t xml:space="preserve">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lastRenderedPageBreak/>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t>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E9642E">
        <w:rPr>
          <w:rFonts w:ascii="Times New Roman" w:hAnsi="Times New Roman" w:cs="Times New Roman"/>
          <w:b w:val="0"/>
          <w:sz w:val="22"/>
          <w:szCs w:val="22"/>
        </w:rPr>
        <w:t xml:space="preserve"> </w:t>
      </w:r>
      <w:r w:rsidR="002E05AF" w:rsidRPr="002E05AF">
        <w:rPr>
          <w:rFonts w:ascii="Times New Roman" w:hAnsi="Times New Roman" w:cs="Times New Roman"/>
          <w:b w:val="0"/>
          <w:sz w:val="22"/>
          <w:szCs w:val="22"/>
        </w:rPr>
        <w:t>определения объема и условий предоставления</w:t>
      </w:r>
      <w:r w:rsidR="00152914" w:rsidRPr="00152914">
        <w:rPr>
          <w:rFonts w:ascii="Times New Roman" w:hAnsi="Times New Roman" w:cs="Times New Roman"/>
          <w:b w:val="0"/>
          <w:bCs w:val="0"/>
        </w:rPr>
        <w:t xml:space="preserve"> </w:t>
      </w:r>
      <w:r w:rsidR="00152914" w:rsidRPr="00152914">
        <w:rPr>
          <w:rFonts w:ascii="Times New Roman" w:hAnsi="Times New Roman" w:cs="Times New Roman"/>
          <w:b w:val="0"/>
          <w:sz w:val="22"/>
          <w:szCs w:val="22"/>
        </w:rPr>
        <w:t>Государственному автономн</w:t>
      </w:r>
      <w:r w:rsidR="00152914" w:rsidRPr="00152914">
        <w:rPr>
          <w:rFonts w:ascii="Times New Roman" w:hAnsi="Times New Roman" w:cs="Times New Roman"/>
          <w:b w:val="0"/>
          <w:sz w:val="22"/>
          <w:szCs w:val="22"/>
        </w:rPr>
        <w:t>о</w:t>
      </w:r>
      <w:r w:rsidR="00152914" w:rsidRPr="00152914">
        <w:rPr>
          <w:rFonts w:ascii="Times New Roman" w:hAnsi="Times New Roman" w:cs="Times New Roman"/>
          <w:b w:val="0"/>
          <w:sz w:val="22"/>
          <w:szCs w:val="22"/>
        </w:rPr>
        <w:t>му учреждению культуры Республики Тата</w:t>
      </w:r>
      <w:r w:rsidR="00152914" w:rsidRPr="00152914">
        <w:rPr>
          <w:rFonts w:ascii="Times New Roman" w:hAnsi="Times New Roman" w:cs="Times New Roman"/>
          <w:b w:val="0"/>
          <w:sz w:val="22"/>
          <w:szCs w:val="22"/>
        </w:rPr>
        <w:t>р</w:t>
      </w:r>
      <w:r w:rsidR="00152914" w:rsidRPr="00152914">
        <w:rPr>
          <w:rFonts w:ascii="Times New Roman" w:hAnsi="Times New Roman" w:cs="Times New Roman"/>
          <w:b w:val="0"/>
          <w:sz w:val="22"/>
          <w:szCs w:val="22"/>
        </w:rPr>
        <w:t>стан «</w:t>
      </w:r>
      <w:r w:rsidR="005225DF">
        <w:rPr>
          <w:rFonts w:ascii="Times New Roman" w:hAnsi="Times New Roman" w:cs="Times New Roman"/>
          <w:b w:val="0"/>
          <w:sz w:val="22"/>
          <w:szCs w:val="22"/>
        </w:rPr>
        <w:t>Мензелинский государственный тата</w:t>
      </w:r>
      <w:r w:rsidR="005225DF">
        <w:rPr>
          <w:rFonts w:ascii="Times New Roman" w:hAnsi="Times New Roman" w:cs="Times New Roman"/>
          <w:b w:val="0"/>
          <w:sz w:val="22"/>
          <w:szCs w:val="22"/>
        </w:rPr>
        <w:t>р</w:t>
      </w:r>
      <w:r w:rsidR="005225DF">
        <w:rPr>
          <w:rFonts w:ascii="Times New Roman" w:hAnsi="Times New Roman" w:cs="Times New Roman"/>
          <w:b w:val="0"/>
          <w:sz w:val="22"/>
          <w:szCs w:val="22"/>
        </w:rPr>
        <w:t xml:space="preserve">ский драматический театр имени </w:t>
      </w:r>
      <w:proofErr w:type="spellStart"/>
      <w:r w:rsidR="005225DF">
        <w:rPr>
          <w:rFonts w:ascii="Times New Roman" w:hAnsi="Times New Roman" w:cs="Times New Roman"/>
          <w:b w:val="0"/>
          <w:sz w:val="22"/>
          <w:szCs w:val="22"/>
        </w:rPr>
        <w:t>Сабира</w:t>
      </w:r>
      <w:proofErr w:type="spellEnd"/>
      <w:r w:rsidR="005225DF">
        <w:rPr>
          <w:rFonts w:ascii="Times New Roman" w:hAnsi="Times New Roman" w:cs="Times New Roman"/>
          <w:b w:val="0"/>
          <w:sz w:val="22"/>
          <w:szCs w:val="22"/>
        </w:rPr>
        <w:t xml:space="preserve"> </w:t>
      </w:r>
      <w:proofErr w:type="spellStart"/>
      <w:r w:rsidR="005225DF">
        <w:rPr>
          <w:rFonts w:ascii="Times New Roman" w:hAnsi="Times New Roman" w:cs="Times New Roman"/>
          <w:b w:val="0"/>
          <w:sz w:val="22"/>
          <w:szCs w:val="22"/>
        </w:rPr>
        <w:t>Аму</w:t>
      </w:r>
      <w:r w:rsidR="005225DF">
        <w:rPr>
          <w:rFonts w:ascii="Times New Roman" w:hAnsi="Times New Roman" w:cs="Times New Roman"/>
          <w:b w:val="0"/>
          <w:sz w:val="22"/>
          <w:szCs w:val="22"/>
        </w:rPr>
        <w:t>т</w:t>
      </w:r>
      <w:r w:rsidR="005225DF">
        <w:rPr>
          <w:rFonts w:ascii="Times New Roman" w:hAnsi="Times New Roman" w:cs="Times New Roman"/>
          <w:b w:val="0"/>
          <w:sz w:val="22"/>
          <w:szCs w:val="22"/>
        </w:rPr>
        <w:t>баева</w:t>
      </w:r>
      <w:proofErr w:type="spellEnd"/>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w:t>
      </w:r>
      <w:proofErr w:type="gramEnd"/>
      <w:r w:rsidR="002E05AF" w:rsidRPr="002E05AF">
        <w:rPr>
          <w:rFonts w:ascii="Times New Roman" w:hAnsi="Times New Roman" w:cs="Times New Roman"/>
          <w:b w:val="0"/>
          <w:sz w:val="22"/>
          <w:szCs w:val="22"/>
        </w:rPr>
        <w:t xml:space="preserve">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2E05AF" w:rsidRPr="002E05AF">
        <w:rPr>
          <w:rFonts w:ascii="Times New Roman" w:hAnsi="Times New Roman" w:cs="Times New Roman"/>
          <w:b w:val="0"/>
          <w:sz w:val="22"/>
          <w:szCs w:val="22"/>
        </w:rPr>
        <w:t>нистров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предоставления</w:t>
      </w:r>
      <w:r w:rsidR="00152914" w:rsidRPr="00152914">
        <w:t xml:space="preserve"> </w:t>
      </w:r>
      <w:r w:rsidR="00152914" w:rsidRPr="00152914">
        <w:rPr>
          <w:rFonts w:ascii="Times New Roman" w:hAnsi="Times New Roman" w:cs="Times New Roman"/>
          <w:b w:val="0"/>
          <w:sz w:val="22"/>
          <w:szCs w:val="22"/>
        </w:rPr>
        <w:t>Государственному автономн</w:t>
      </w:r>
      <w:r w:rsidR="00152914" w:rsidRPr="00152914">
        <w:rPr>
          <w:rFonts w:ascii="Times New Roman" w:hAnsi="Times New Roman" w:cs="Times New Roman"/>
          <w:b w:val="0"/>
          <w:sz w:val="22"/>
          <w:szCs w:val="22"/>
        </w:rPr>
        <w:t>о</w:t>
      </w:r>
      <w:r w:rsidR="00152914" w:rsidRPr="00152914">
        <w:rPr>
          <w:rFonts w:ascii="Times New Roman" w:hAnsi="Times New Roman" w:cs="Times New Roman"/>
          <w:b w:val="0"/>
          <w:sz w:val="22"/>
          <w:szCs w:val="22"/>
        </w:rPr>
        <w:t>му учреждению культуры Республики Тата</w:t>
      </w:r>
      <w:r w:rsidR="00152914" w:rsidRPr="00152914">
        <w:rPr>
          <w:rFonts w:ascii="Times New Roman" w:hAnsi="Times New Roman" w:cs="Times New Roman"/>
          <w:b w:val="0"/>
          <w:sz w:val="22"/>
          <w:szCs w:val="22"/>
        </w:rPr>
        <w:t>р</w:t>
      </w:r>
      <w:r w:rsidR="00152914" w:rsidRPr="00152914">
        <w:rPr>
          <w:rFonts w:ascii="Times New Roman" w:hAnsi="Times New Roman" w:cs="Times New Roman"/>
          <w:b w:val="0"/>
          <w:sz w:val="22"/>
          <w:szCs w:val="22"/>
        </w:rPr>
        <w:t>стан «</w:t>
      </w:r>
      <w:r w:rsidR="005225DF">
        <w:rPr>
          <w:rFonts w:ascii="Times New Roman" w:hAnsi="Times New Roman" w:cs="Times New Roman"/>
          <w:b w:val="0"/>
          <w:sz w:val="22"/>
          <w:szCs w:val="22"/>
        </w:rPr>
        <w:t>Мензелинский государственный тата</w:t>
      </w:r>
      <w:r w:rsidR="005225DF">
        <w:rPr>
          <w:rFonts w:ascii="Times New Roman" w:hAnsi="Times New Roman" w:cs="Times New Roman"/>
          <w:b w:val="0"/>
          <w:sz w:val="22"/>
          <w:szCs w:val="22"/>
        </w:rPr>
        <w:t>р</w:t>
      </w:r>
      <w:r w:rsidR="005225DF">
        <w:rPr>
          <w:rFonts w:ascii="Times New Roman" w:hAnsi="Times New Roman" w:cs="Times New Roman"/>
          <w:b w:val="0"/>
          <w:sz w:val="22"/>
          <w:szCs w:val="22"/>
        </w:rPr>
        <w:t xml:space="preserve">ский драматический театр имени </w:t>
      </w:r>
      <w:proofErr w:type="spellStart"/>
      <w:r w:rsidR="005225DF">
        <w:rPr>
          <w:rFonts w:ascii="Times New Roman" w:hAnsi="Times New Roman" w:cs="Times New Roman"/>
          <w:b w:val="0"/>
          <w:sz w:val="22"/>
          <w:szCs w:val="22"/>
        </w:rPr>
        <w:t>Сабира</w:t>
      </w:r>
      <w:proofErr w:type="spellEnd"/>
      <w:r w:rsidR="005225DF">
        <w:rPr>
          <w:rFonts w:ascii="Times New Roman" w:hAnsi="Times New Roman" w:cs="Times New Roman"/>
          <w:b w:val="0"/>
          <w:sz w:val="22"/>
          <w:szCs w:val="22"/>
        </w:rPr>
        <w:t xml:space="preserve"> </w:t>
      </w:r>
      <w:proofErr w:type="spellStart"/>
      <w:r w:rsidR="005225DF">
        <w:rPr>
          <w:rFonts w:ascii="Times New Roman" w:hAnsi="Times New Roman" w:cs="Times New Roman"/>
          <w:b w:val="0"/>
          <w:sz w:val="22"/>
          <w:szCs w:val="22"/>
        </w:rPr>
        <w:t>Аму</w:t>
      </w:r>
      <w:r w:rsidR="005225DF">
        <w:rPr>
          <w:rFonts w:ascii="Times New Roman" w:hAnsi="Times New Roman" w:cs="Times New Roman"/>
          <w:b w:val="0"/>
          <w:sz w:val="22"/>
          <w:szCs w:val="22"/>
        </w:rPr>
        <w:t>т</w:t>
      </w:r>
      <w:r w:rsidR="005225DF">
        <w:rPr>
          <w:rFonts w:ascii="Times New Roman" w:hAnsi="Times New Roman" w:cs="Times New Roman"/>
          <w:b w:val="0"/>
          <w:sz w:val="22"/>
          <w:szCs w:val="22"/>
        </w:rPr>
        <w:t>баева</w:t>
      </w:r>
      <w:proofErr w:type="spellEnd"/>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w:t>
      </w:r>
      <w:proofErr w:type="gramEnd"/>
      <w:r w:rsidR="009E4742" w:rsidRPr="009E4742">
        <w:rPr>
          <w:rFonts w:ascii="Times New Roman" w:hAnsi="Times New Roman" w:cs="Times New Roman"/>
          <w:b w:val="0"/>
          <w:sz w:val="22"/>
          <w:szCs w:val="22"/>
        </w:rPr>
        <w:t xml:space="preserve">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предоставления</w:t>
      </w:r>
      <w:r w:rsidR="00152914" w:rsidRPr="00152914">
        <w:t xml:space="preserve"> </w:t>
      </w:r>
      <w:r w:rsidR="00152914" w:rsidRPr="00152914">
        <w:rPr>
          <w:rFonts w:ascii="Times New Roman" w:hAnsi="Times New Roman" w:cs="Times New Roman"/>
          <w:b w:val="0"/>
          <w:sz w:val="22"/>
          <w:szCs w:val="22"/>
        </w:rPr>
        <w:t>Государственному автономн</w:t>
      </w:r>
      <w:r w:rsidR="00152914" w:rsidRPr="00152914">
        <w:rPr>
          <w:rFonts w:ascii="Times New Roman" w:hAnsi="Times New Roman" w:cs="Times New Roman"/>
          <w:b w:val="0"/>
          <w:sz w:val="22"/>
          <w:szCs w:val="22"/>
        </w:rPr>
        <w:t>о</w:t>
      </w:r>
      <w:r w:rsidR="00152914" w:rsidRPr="00152914">
        <w:rPr>
          <w:rFonts w:ascii="Times New Roman" w:hAnsi="Times New Roman" w:cs="Times New Roman"/>
          <w:b w:val="0"/>
          <w:sz w:val="22"/>
          <w:szCs w:val="22"/>
        </w:rPr>
        <w:t>му учреждению культуры Республики Тата</w:t>
      </w:r>
      <w:r w:rsidR="00152914" w:rsidRPr="00152914">
        <w:rPr>
          <w:rFonts w:ascii="Times New Roman" w:hAnsi="Times New Roman" w:cs="Times New Roman"/>
          <w:b w:val="0"/>
          <w:sz w:val="22"/>
          <w:szCs w:val="22"/>
        </w:rPr>
        <w:t>р</w:t>
      </w:r>
      <w:r w:rsidR="00152914" w:rsidRPr="00152914">
        <w:rPr>
          <w:rFonts w:ascii="Times New Roman" w:hAnsi="Times New Roman" w:cs="Times New Roman"/>
          <w:b w:val="0"/>
          <w:sz w:val="22"/>
          <w:szCs w:val="22"/>
        </w:rPr>
        <w:t>стан «</w:t>
      </w:r>
      <w:r w:rsidR="005225DF">
        <w:rPr>
          <w:rFonts w:ascii="Times New Roman" w:hAnsi="Times New Roman" w:cs="Times New Roman"/>
          <w:b w:val="0"/>
          <w:sz w:val="22"/>
          <w:szCs w:val="22"/>
        </w:rPr>
        <w:t>Мензелинский государственный тата</w:t>
      </w:r>
      <w:r w:rsidR="005225DF">
        <w:rPr>
          <w:rFonts w:ascii="Times New Roman" w:hAnsi="Times New Roman" w:cs="Times New Roman"/>
          <w:b w:val="0"/>
          <w:sz w:val="22"/>
          <w:szCs w:val="22"/>
        </w:rPr>
        <w:t>р</w:t>
      </w:r>
      <w:r w:rsidR="005225DF">
        <w:rPr>
          <w:rFonts w:ascii="Times New Roman" w:hAnsi="Times New Roman" w:cs="Times New Roman"/>
          <w:b w:val="0"/>
          <w:sz w:val="22"/>
          <w:szCs w:val="22"/>
        </w:rPr>
        <w:t xml:space="preserve">ский драматический театр имени </w:t>
      </w:r>
      <w:proofErr w:type="spellStart"/>
      <w:r w:rsidR="005225DF">
        <w:rPr>
          <w:rFonts w:ascii="Times New Roman" w:hAnsi="Times New Roman" w:cs="Times New Roman"/>
          <w:b w:val="0"/>
          <w:sz w:val="22"/>
          <w:szCs w:val="22"/>
        </w:rPr>
        <w:t>Сабира</w:t>
      </w:r>
      <w:proofErr w:type="spellEnd"/>
      <w:r w:rsidR="005225DF">
        <w:rPr>
          <w:rFonts w:ascii="Times New Roman" w:hAnsi="Times New Roman" w:cs="Times New Roman"/>
          <w:b w:val="0"/>
          <w:sz w:val="22"/>
          <w:szCs w:val="22"/>
        </w:rPr>
        <w:t xml:space="preserve"> </w:t>
      </w:r>
      <w:proofErr w:type="spellStart"/>
      <w:r w:rsidR="005225DF">
        <w:rPr>
          <w:rFonts w:ascii="Times New Roman" w:hAnsi="Times New Roman" w:cs="Times New Roman"/>
          <w:b w:val="0"/>
          <w:sz w:val="22"/>
          <w:szCs w:val="22"/>
        </w:rPr>
        <w:t>Аму</w:t>
      </w:r>
      <w:r w:rsidR="005225DF">
        <w:rPr>
          <w:rFonts w:ascii="Times New Roman" w:hAnsi="Times New Roman" w:cs="Times New Roman"/>
          <w:b w:val="0"/>
          <w:sz w:val="22"/>
          <w:szCs w:val="22"/>
        </w:rPr>
        <w:t>т</w:t>
      </w:r>
      <w:r w:rsidR="005225DF">
        <w:rPr>
          <w:rFonts w:ascii="Times New Roman" w:hAnsi="Times New Roman" w:cs="Times New Roman"/>
          <w:b w:val="0"/>
          <w:sz w:val="22"/>
          <w:szCs w:val="22"/>
        </w:rPr>
        <w:t>баева</w:t>
      </w:r>
      <w:proofErr w:type="spellEnd"/>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w:t>
      </w:r>
      <w:proofErr w:type="gramEnd"/>
      <w:r w:rsidR="009E4742" w:rsidRPr="009E4742">
        <w:rPr>
          <w:rFonts w:ascii="Times New Roman" w:hAnsi="Times New Roman" w:cs="Times New Roman"/>
          <w:b w:val="0"/>
          <w:sz w:val="22"/>
          <w:szCs w:val="22"/>
        </w:rPr>
        <w:t xml:space="preserve">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предоставления</w:t>
      </w:r>
      <w:r w:rsidR="000669AE" w:rsidRPr="000669AE">
        <w:t xml:space="preserve"> </w:t>
      </w:r>
      <w:r w:rsidR="000669AE" w:rsidRPr="000669AE">
        <w:rPr>
          <w:rFonts w:ascii="Times New Roman" w:hAnsi="Times New Roman" w:cs="Times New Roman"/>
          <w:b w:val="0"/>
          <w:sz w:val="22"/>
          <w:szCs w:val="22"/>
        </w:rPr>
        <w:t>Государственному автономн</w:t>
      </w:r>
      <w:r w:rsidR="000669AE" w:rsidRPr="000669AE">
        <w:rPr>
          <w:rFonts w:ascii="Times New Roman" w:hAnsi="Times New Roman" w:cs="Times New Roman"/>
          <w:b w:val="0"/>
          <w:sz w:val="22"/>
          <w:szCs w:val="22"/>
        </w:rPr>
        <w:t>о</w:t>
      </w:r>
      <w:r w:rsidR="000669AE" w:rsidRPr="000669AE">
        <w:rPr>
          <w:rFonts w:ascii="Times New Roman" w:hAnsi="Times New Roman" w:cs="Times New Roman"/>
          <w:b w:val="0"/>
          <w:sz w:val="22"/>
          <w:szCs w:val="22"/>
        </w:rPr>
        <w:t>му учреждению культуры Республики Тата</w:t>
      </w:r>
      <w:r w:rsidR="000669AE" w:rsidRPr="000669AE">
        <w:rPr>
          <w:rFonts w:ascii="Times New Roman" w:hAnsi="Times New Roman" w:cs="Times New Roman"/>
          <w:b w:val="0"/>
          <w:sz w:val="22"/>
          <w:szCs w:val="22"/>
        </w:rPr>
        <w:t>р</w:t>
      </w:r>
      <w:r w:rsidR="000669AE" w:rsidRPr="000669AE">
        <w:rPr>
          <w:rFonts w:ascii="Times New Roman" w:hAnsi="Times New Roman" w:cs="Times New Roman"/>
          <w:b w:val="0"/>
          <w:sz w:val="22"/>
          <w:szCs w:val="22"/>
        </w:rPr>
        <w:t>стан «</w:t>
      </w:r>
      <w:r w:rsidR="005225DF">
        <w:rPr>
          <w:rFonts w:ascii="Times New Roman" w:hAnsi="Times New Roman" w:cs="Times New Roman"/>
          <w:b w:val="0"/>
          <w:sz w:val="22"/>
          <w:szCs w:val="22"/>
        </w:rPr>
        <w:t>Мензелинский государственный тата</w:t>
      </w:r>
      <w:r w:rsidR="005225DF">
        <w:rPr>
          <w:rFonts w:ascii="Times New Roman" w:hAnsi="Times New Roman" w:cs="Times New Roman"/>
          <w:b w:val="0"/>
          <w:sz w:val="22"/>
          <w:szCs w:val="22"/>
        </w:rPr>
        <w:t>р</w:t>
      </w:r>
      <w:r w:rsidR="005225DF">
        <w:rPr>
          <w:rFonts w:ascii="Times New Roman" w:hAnsi="Times New Roman" w:cs="Times New Roman"/>
          <w:b w:val="0"/>
          <w:sz w:val="22"/>
          <w:szCs w:val="22"/>
        </w:rPr>
        <w:t xml:space="preserve">ский драматический театр имени </w:t>
      </w:r>
      <w:proofErr w:type="spellStart"/>
      <w:r w:rsidR="005225DF">
        <w:rPr>
          <w:rFonts w:ascii="Times New Roman" w:hAnsi="Times New Roman" w:cs="Times New Roman"/>
          <w:b w:val="0"/>
          <w:sz w:val="22"/>
          <w:szCs w:val="22"/>
        </w:rPr>
        <w:t>Сабира</w:t>
      </w:r>
      <w:proofErr w:type="spellEnd"/>
      <w:r w:rsidR="005225DF">
        <w:rPr>
          <w:rFonts w:ascii="Times New Roman" w:hAnsi="Times New Roman" w:cs="Times New Roman"/>
          <w:b w:val="0"/>
          <w:sz w:val="22"/>
          <w:szCs w:val="22"/>
        </w:rPr>
        <w:t xml:space="preserve"> </w:t>
      </w:r>
      <w:proofErr w:type="spellStart"/>
      <w:r w:rsidR="005225DF">
        <w:rPr>
          <w:rFonts w:ascii="Times New Roman" w:hAnsi="Times New Roman" w:cs="Times New Roman"/>
          <w:b w:val="0"/>
          <w:sz w:val="22"/>
          <w:szCs w:val="22"/>
        </w:rPr>
        <w:t>Аму</w:t>
      </w:r>
      <w:r w:rsidR="005225DF">
        <w:rPr>
          <w:rFonts w:ascii="Times New Roman" w:hAnsi="Times New Roman" w:cs="Times New Roman"/>
          <w:b w:val="0"/>
          <w:sz w:val="22"/>
          <w:szCs w:val="22"/>
        </w:rPr>
        <w:t>т</w:t>
      </w:r>
      <w:r w:rsidR="005225DF">
        <w:rPr>
          <w:rFonts w:ascii="Times New Roman" w:hAnsi="Times New Roman" w:cs="Times New Roman"/>
          <w:b w:val="0"/>
          <w:sz w:val="22"/>
          <w:szCs w:val="22"/>
        </w:rPr>
        <w:t>баева</w:t>
      </w:r>
      <w:proofErr w:type="spellEnd"/>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w:t>
      </w:r>
      <w:proofErr w:type="gramEnd"/>
      <w:r w:rsidR="009E4742" w:rsidRPr="009E4742">
        <w:rPr>
          <w:rFonts w:ascii="Times New Roman" w:hAnsi="Times New Roman" w:cs="Times New Roman"/>
          <w:b w:val="0"/>
          <w:sz w:val="22"/>
          <w:szCs w:val="22"/>
        </w:rPr>
        <w:t xml:space="preserve">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bookmarkStart w:id="0" w:name="_GoBack"/>
      <w:bookmarkEnd w:id="0"/>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предоставления</w:t>
      </w:r>
      <w:r w:rsidR="000669AE" w:rsidRPr="000669AE">
        <w:t xml:space="preserve"> </w:t>
      </w:r>
      <w:r w:rsidR="000669AE" w:rsidRPr="000669AE">
        <w:rPr>
          <w:rFonts w:ascii="Times New Roman" w:hAnsi="Times New Roman" w:cs="Times New Roman"/>
          <w:b w:val="0"/>
          <w:sz w:val="22"/>
          <w:szCs w:val="22"/>
        </w:rPr>
        <w:t>Государственному автономн</w:t>
      </w:r>
      <w:r w:rsidR="000669AE" w:rsidRPr="000669AE">
        <w:rPr>
          <w:rFonts w:ascii="Times New Roman" w:hAnsi="Times New Roman" w:cs="Times New Roman"/>
          <w:b w:val="0"/>
          <w:sz w:val="22"/>
          <w:szCs w:val="22"/>
        </w:rPr>
        <w:t>о</w:t>
      </w:r>
      <w:r w:rsidR="000669AE" w:rsidRPr="000669AE">
        <w:rPr>
          <w:rFonts w:ascii="Times New Roman" w:hAnsi="Times New Roman" w:cs="Times New Roman"/>
          <w:b w:val="0"/>
          <w:sz w:val="22"/>
          <w:szCs w:val="22"/>
        </w:rPr>
        <w:t>му учреждению культуры Республики Тата</w:t>
      </w:r>
      <w:r w:rsidR="000669AE" w:rsidRPr="000669AE">
        <w:rPr>
          <w:rFonts w:ascii="Times New Roman" w:hAnsi="Times New Roman" w:cs="Times New Roman"/>
          <w:b w:val="0"/>
          <w:sz w:val="22"/>
          <w:szCs w:val="22"/>
        </w:rPr>
        <w:t>р</w:t>
      </w:r>
      <w:r w:rsidR="000669AE" w:rsidRPr="000669AE">
        <w:rPr>
          <w:rFonts w:ascii="Times New Roman" w:hAnsi="Times New Roman" w:cs="Times New Roman"/>
          <w:b w:val="0"/>
          <w:sz w:val="22"/>
          <w:szCs w:val="22"/>
        </w:rPr>
        <w:t>стан «</w:t>
      </w:r>
      <w:r w:rsidR="005225DF">
        <w:rPr>
          <w:rFonts w:ascii="Times New Roman" w:hAnsi="Times New Roman" w:cs="Times New Roman"/>
          <w:b w:val="0"/>
          <w:sz w:val="22"/>
          <w:szCs w:val="22"/>
        </w:rPr>
        <w:t>Мензелинский государственный тата</w:t>
      </w:r>
      <w:r w:rsidR="005225DF">
        <w:rPr>
          <w:rFonts w:ascii="Times New Roman" w:hAnsi="Times New Roman" w:cs="Times New Roman"/>
          <w:b w:val="0"/>
          <w:sz w:val="22"/>
          <w:szCs w:val="22"/>
        </w:rPr>
        <w:t>р</w:t>
      </w:r>
      <w:r w:rsidR="005225DF">
        <w:rPr>
          <w:rFonts w:ascii="Times New Roman" w:hAnsi="Times New Roman" w:cs="Times New Roman"/>
          <w:b w:val="0"/>
          <w:sz w:val="22"/>
          <w:szCs w:val="22"/>
        </w:rPr>
        <w:t xml:space="preserve">ский драматический театр имени </w:t>
      </w:r>
      <w:proofErr w:type="spellStart"/>
      <w:r w:rsidR="005225DF">
        <w:rPr>
          <w:rFonts w:ascii="Times New Roman" w:hAnsi="Times New Roman" w:cs="Times New Roman"/>
          <w:b w:val="0"/>
          <w:sz w:val="22"/>
          <w:szCs w:val="22"/>
        </w:rPr>
        <w:t>Сабира</w:t>
      </w:r>
      <w:proofErr w:type="spellEnd"/>
      <w:r w:rsidR="005225DF">
        <w:rPr>
          <w:rFonts w:ascii="Times New Roman" w:hAnsi="Times New Roman" w:cs="Times New Roman"/>
          <w:b w:val="0"/>
          <w:sz w:val="22"/>
          <w:szCs w:val="22"/>
        </w:rPr>
        <w:t xml:space="preserve"> </w:t>
      </w:r>
      <w:proofErr w:type="spellStart"/>
      <w:r w:rsidR="005225DF">
        <w:rPr>
          <w:rFonts w:ascii="Times New Roman" w:hAnsi="Times New Roman" w:cs="Times New Roman"/>
          <w:b w:val="0"/>
          <w:sz w:val="22"/>
          <w:szCs w:val="22"/>
        </w:rPr>
        <w:t>Аму</w:t>
      </w:r>
      <w:r w:rsidR="005225DF">
        <w:rPr>
          <w:rFonts w:ascii="Times New Roman" w:hAnsi="Times New Roman" w:cs="Times New Roman"/>
          <w:b w:val="0"/>
          <w:sz w:val="22"/>
          <w:szCs w:val="22"/>
        </w:rPr>
        <w:t>т</w:t>
      </w:r>
      <w:r w:rsidR="005225DF">
        <w:rPr>
          <w:rFonts w:ascii="Times New Roman" w:hAnsi="Times New Roman" w:cs="Times New Roman"/>
          <w:b w:val="0"/>
          <w:sz w:val="22"/>
          <w:szCs w:val="22"/>
        </w:rPr>
        <w:t>баева</w:t>
      </w:r>
      <w:proofErr w:type="spellEnd"/>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w:t>
      </w:r>
      <w:proofErr w:type="gramEnd"/>
      <w:r w:rsidR="009E4742" w:rsidRPr="009E4742">
        <w:rPr>
          <w:rFonts w:ascii="Times New Roman" w:hAnsi="Times New Roman" w:cs="Times New Roman"/>
          <w:b w:val="0"/>
          <w:sz w:val="22"/>
          <w:szCs w:val="22"/>
        </w:rPr>
        <w:t xml:space="preserve">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3">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gramStart"/>
            <w:r w:rsidRPr="00137A56">
              <w:rPr>
                <w:rFonts w:ascii="Times New Roman" w:hAnsi="Times New Roman" w:cs="Times New Roman"/>
                <w:b w:val="0"/>
                <w:sz w:val="22"/>
                <w:szCs w:val="22"/>
              </w:rPr>
              <w:t>Та-</w:t>
            </w:r>
            <w:proofErr w:type="spellStart"/>
            <w:r w:rsidRPr="00137A56">
              <w:rPr>
                <w:rFonts w:ascii="Times New Roman" w:hAnsi="Times New Roman" w:cs="Times New Roman"/>
                <w:b w:val="0"/>
                <w:sz w:val="22"/>
                <w:szCs w:val="22"/>
              </w:rPr>
              <w:t>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4"/>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06" w:rsidRDefault="00C71E06">
      <w:r>
        <w:separator/>
      </w:r>
    </w:p>
  </w:endnote>
  <w:endnote w:type="continuationSeparator" w:id="0">
    <w:p w:rsidR="00C71E06" w:rsidRDefault="00C7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06" w:rsidRDefault="00C71E06">
      <w:r>
        <w:separator/>
      </w:r>
    </w:p>
  </w:footnote>
  <w:footnote w:type="continuationSeparator" w:id="0">
    <w:p w:rsidR="00C71E06" w:rsidRDefault="00C7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8A4FA5" w:rsidRPr="0091374F" w:rsidRDefault="008A4FA5"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5225DF">
          <w:rPr>
            <w:noProof/>
            <w:sz w:val="28"/>
            <w:szCs w:val="28"/>
          </w:rPr>
          <w:t>15</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0329205FD446F9A12FFF275FA74C03D699372A6238E11600C57917E5F4A79958B1E5ACD5E455A619B1CBE28B40G4A9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3316809B45188B125433E51CB717769D8E0C99D82DE57D3D9E3652B39F7ACC7C314AF3DF77B847FEC8281741E133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D2322892D93551449F153DFAE0FC68140B23AD8DF7443D63F138CE2B908AFF30CCA129C328E2E651CE93D4E2634BA0DBCDE2149CCFD96FD154E7370pDs7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D2322892D93551449F153DFAE0FC68140B23AD8DF7443D63F138CE2B908AFF30CCA129C328E2E651CE93D452434BA0DBCDE2149CCFD96FD154E7370pDs7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4709</Words>
  <Characters>26845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16</cp:revision>
  <cp:lastPrinted>2021-09-16T15:09:00Z</cp:lastPrinted>
  <dcterms:created xsi:type="dcterms:W3CDTF">2022-12-13T11:36:00Z</dcterms:created>
  <dcterms:modified xsi:type="dcterms:W3CDTF">2022-12-14T16:58:00Z</dcterms:modified>
</cp:coreProperties>
</file>