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462" w:rsidRDefault="001B2462">
      <w:pPr>
        <w:pStyle w:val="ConsPlusTitlePage"/>
      </w:pPr>
      <w:r>
        <w:t xml:space="preserve">Документ предоставлен </w:t>
      </w:r>
      <w:hyperlink r:id="rId5" w:history="1">
        <w:r>
          <w:rPr>
            <w:color w:val="0000FF"/>
          </w:rPr>
          <w:t>КонсультантПлюс</w:t>
        </w:r>
      </w:hyperlink>
      <w:r>
        <w:br/>
      </w:r>
    </w:p>
    <w:p w:rsidR="001B2462" w:rsidRDefault="001B2462">
      <w:pPr>
        <w:pStyle w:val="ConsPlusNormal"/>
        <w:jc w:val="both"/>
        <w:outlineLvl w:val="0"/>
      </w:pPr>
    </w:p>
    <w:p w:rsidR="001B2462" w:rsidRDefault="001B2462">
      <w:pPr>
        <w:pStyle w:val="ConsPlusNormal"/>
        <w:jc w:val="both"/>
        <w:outlineLvl w:val="0"/>
      </w:pPr>
      <w:r>
        <w:t>Зарегистрировано в Минюсте РТ 3 июля 2007 г. N 272</w:t>
      </w:r>
    </w:p>
    <w:p w:rsidR="001B2462" w:rsidRDefault="001B2462">
      <w:pPr>
        <w:pStyle w:val="ConsPlusNormal"/>
        <w:pBdr>
          <w:top w:val="single" w:sz="6" w:space="0" w:color="auto"/>
        </w:pBdr>
        <w:spacing w:before="100" w:after="100"/>
        <w:jc w:val="both"/>
        <w:rPr>
          <w:sz w:val="2"/>
          <w:szCs w:val="2"/>
        </w:rPr>
      </w:pPr>
    </w:p>
    <w:p w:rsidR="001B2462" w:rsidRDefault="001B2462">
      <w:pPr>
        <w:pStyle w:val="ConsPlusNormal"/>
      </w:pPr>
    </w:p>
    <w:p w:rsidR="001B2462" w:rsidRDefault="001B2462">
      <w:pPr>
        <w:pStyle w:val="ConsPlusTitle"/>
        <w:jc w:val="center"/>
      </w:pPr>
      <w:r>
        <w:t>МИНИСТЕРСТВО КУЛЬТУРЫ РЕСПУБЛИКИ ТАТАРСТАН</w:t>
      </w:r>
    </w:p>
    <w:p w:rsidR="001B2462" w:rsidRDefault="001B2462">
      <w:pPr>
        <w:pStyle w:val="ConsPlusTitle"/>
        <w:jc w:val="center"/>
      </w:pPr>
    </w:p>
    <w:p w:rsidR="001B2462" w:rsidRDefault="001B2462">
      <w:pPr>
        <w:pStyle w:val="ConsPlusTitle"/>
        <w:jc w:val="center"/>
      </w:pPr>
      <w:r>
        <w:t>ПРИКАЗ</w:t>
      </w:r>
    </w:p>
    <w:p w:rsidR="001B2462" w:rsidRDefault="001B2462">
      <w:pPr>
        <w:pStyle w:val="ConsPlusTitle"/>
        <w:jc w:val="center"/>
      </w:pPr>
      <w:r>
        <w:t>от 4 июня 2007 г. N 343</w:t>
      </w:r>
    </w:p>
    <w:p w:rsidR="001B2462" w:rsidRDefault="001B2462">
      <w:pPr>
        <w:pStyle w:val="ConsPlusTitle"/>
        <w:jc w:val="center"/>
      </w:pPr>
    </w:p>
    <w:p w:rsidR="001B2462" w:rsidRDefault="001B2462">
      <w:pPr>
        <w:pStyle w:val="ConsPlusTitle"/>
        <w:jc w:val="center"/>
      </w:pPr>
      <w:r>
        <w:t>О ГРАНТАХ ПРАВИТЕЛЬСТВА РЕСПУБЛИКИ ТАТАРСТАН</w:t>
      </w:r>
    </w:p>
    <w:p w:rsidR="001B2462" w:rsidRDefault="001B2462">
      <w:pPr>
        <w:pStyle w:val="ConsPlusTitle"/>
        <w:jc w:val="center"/>
      </w:pPr>
      <w:r>
        <w:t>ДЛЯ ПОДДЕРЖКИ ПРОЕКТОВ ТВОРЧЕСКИХ КОЛЛЕКТИВОВ</w:t>
      </w:r>
    </w:p>
    <w:p w:rsidR="001B2462" w:rsidRDefault="001B2462">
      <w:pPr>
        <w:pStyle w:val="ConsPlusTitle"/>
        <w:jc w:val="center"/>
      </w:pPr>
      <w:r>
        <w:t>МУНИЦИПАЛЬНЫХ УЧРЕЖДЕНИЙ КУЛЬТУРЫ И ИСКУССТВА</w:t>
      </w:r>
    </w:p>
    <w:p w:rsidR="001B2462" w:rsidRDefault="001B2462">
      <w:pPr>
        <w:pStyle w:val="ConsPlusNormal"/>
        <w:jc w:val="center"/>
      </w:pPr>
    </w:p>
    <w:p w:rsidR="001B2462" w:rsidRDefault="001B2462">
      <w:pPr>
        <w:pStyle w:val="ConsPlusNormal"/>
        <w:jc w:val="center"/>
      </w:pPr>
      <w:r>
        <w:t>Список изменяющих документов</w:t>
      </w:r>
    </w:p>
    <w:p w:rsidR="001B2462" w:rsidRDefault="001B2462">
      <w:pPr>
        <w:pStyle w:val="ConsPlusNormal"/>
        <w:jc w:val="center"/>
      </w:pPr>
      <w:r>
        <w:t xml:space="preserve">(в ред. </w:t>
      </w:r>
      <w:hyperlink r:id="rId6" w:history="1">
        <w:r>
          <w:rPr>
            <w:color w:val="0000FF"/>
          </w:rPr>
          <w:t>Приказа</w:t>
        </w:r>
      </w:hyperlink>
      <w:r>
        <w:t xml:space="preserve"> Минкультуры РТ от 31.03.2009 N 173)</w:t>
      </w:r>
    </w:p>
    <w:p w:rsidR="001B2462" w:rsidRDefault="001B2462">
      <w:pPr>
        <w:pStyle w:val="ConsPlusNormal"/>
        <w:jc w:val="center"/>
      </w:pPr>
    </w:p>
    <w:p w:rsidR="001B2462" w:rsidRDefault="001B2462">
      <w:pPr>
        <w:pStyle w:val="ConsPlusNormal"/>
        <w:ind w:firstLine="540"/>
        <w:jc w:val="both"/>
      </w:pPr>
      <w:r>
        <w:t xml:space="preserve">Во исполнение </w:t>
      </w:r>
      <w:hyperlink r:id="rId7" w:history="1">
        <w:r>
          <w:rPr>
            <w:color w:val="0000FF"/>
          </w:rPr>
          <w:t>постановления</w:t>
        </w:r>
      </w:hyperlink>
      <w:r>
        <w:t xml:space="preserve"> Кабинета Министров Республики Татарстан от 14.05.2007 N 181 "Об учреждении грантов Правительства Республики Татарстан для поддержки проектов творческих коллективов муниципальных учреждений культуры и искусства" приказываю:</w:t>
      </w:r>
    </w:p>
    <w:p w:rsidR="001B2462" w:rsidRDefault="001B2462">
      <w:pPr>
        <w:pStyle w:val="ConsPlusNormal"/>
        <w:ind w:firstLine="540"/>
        <w:jc w:val="both"/>
      </w:pPr>
      <w:r>
        <w:t xml:space="preserve">1. Утвердить прилагаемое </w:t>
      </w:r>
      <w:hyperlink w:anchor="P36" w:history="1">
        <w:r>
          <w:rPr>
            <w:color w:val="0000FF"/>
          </w:rPr>
          <w:t>Положение</w:t>
        </w:r>
      </w:hyperlink>
      <w:r>
        <w:t xml:space="preserve"> о порядке предоставления грантов Правительства Республики Татарстан для поддержки проектов творческих коллективов муниципальных учреждений культуры и искусства.</w:t>
      </w:r>
    </w:p>
    <w:p w:rsidR="001B2462" w:rsidRDefault="001B2462">
      <w:pPr>
        <w:pStyle w:val="ConsPlusNormal"/>
        <w:ind w:firstLine="540"/>
        <w:jc w:val="both"/>
      </w:pPr>
      <w:r>
        <w:t>2. Установить срок подачи документов соискателями грантов - 30 сентября 2007 года.</w:t>
      </w:r>
    </w:p>
    <w:p w:rsidR="001B2462" w:rsidRDefault="001B2462">
      <w:pPr>
        <w:pStyle w:val="ConsPlusNormal"/>
        <w:ind w:firstLine="540"/>
        <w:jc w:val="both"/>
      </w:pPr>
      <w:r>
        <w:t>3. Заместителю министра Л.В.Кузьминой обеспечить регистрацию настоящего приказа в Министерстве юстиции Республики Татарстан и его опубликование.</w:t>
      </w:r>
    </w:p>
    <w:p w:rsidR="001B2462" w:rsidRDefault="001B2462">
      <w:pPr>
        <w:pStyle w:val="ConsPlusNormal"/>
        <w:ind w:firstLine="540"/>
        <w:jc w:val="both"/>
      </w:pPr>
      <w:r>
        <w:t xml:space="preserve">4. </w:t>
      </w:r>
      <w:proofErr w:type="gramStart"/>
      <w:r>
        <w:t>Контроль за</w:t>
      </w:r>
      <w:proofErr w:type="gramEnd"/>
      <w:r>
        <w:t xml:space="preserve"> исполнением приказа оставляю за собой.</w:t>
      </w:r>
    </w:p>
    <w:p w:rsidR="001B2462" w:rsidRDefault="001B2462">
      <w:pPr>
        <w:pStyle w:val="ConsPlusNormal"/>
        <w:jc w:val="right"/>
      </w:pPr>
    </w:p>
    <w:p w:rsidR="001B2462" w:rsidRDefault="001B2462">
      <w:pPr>
        <w:pStyle w:val="ConsPlusNormal"/>
        <w:jc w:val="right"/>
      </w:pPr>
      <w:r>
        <w:t>Заместитель Премьер-министра -</w:t>
      </w:r>
    </w:p>
    <w:p w:rsidR="001B2462" w:rsidRDefault="001B2462">
      <w:pPr>
        <w:pStyle w:val="ConsPlusNormal"/>
        <w:jc w:val="right"/>
      </w:pPr>
      <w:r>
        <w:t>министр</w:t>
      </w:r>
    </w:p>
    <w:p w:rsidR="001B2462" w:rsidRDefault="001B2462">
      <w:pPr>
        <w:pStyle w:val="ConsPlusNormal"/>
        <w:jc w:val="right"/>
      </w:pPr>
      <w:r>
        <w:t>З.Р.ВАЛЕЕВА</w:t>
      </w:r>
    </w:p>
    <w:p w:rsidR="001B2462" w:rsidRDefault="001B2462">
      <w:pPr>
        <w:pStyle w:val="ConsPlusNormal"/>
        <w:jc w:val="right"/>
      </w:pPr>
    </w:p>
    <w:p w:rsidR="001B2462" w:rsidRDefault="001B2462">
      <w:pPr>
        <w:pStyle w:val="ConsPlusNormal"/>
        <w:jc w:val="right"/>
      </w:pPr>
    </w:p>
    <w:p w:rsidR="001B2462" w:rsidRDefault="001B2462">
      <w:pPr>
        <w:pStyle w:val="ConsPlusNormal"/>
        <w:jc w:val="right"/>
      </w:pPr>
    </w:p>
    <w:p w:rsidR="001B2462" w:rsidRDefault="001B2462">
      <w:pPr>
        <w:pStyle w:val="ConsPlusNormal"/>
        <w:jc w:val="right"/>
      </w:pPr>
    </w:p>
    <w:p w:rsidR="001B2462" w:rsidRDefault="001B2462">
      <w:pPr>
        <w:pStyle w:val="ConsPlusNormal"/>
        <w:jc w:val="right"/>
      </w:pPr>
    </w:p>
    <w:p w:rsidR="001B2462" w:rsidRDefault="001B2462">
      <w:pPr>
        <w:pStyle w:val="ConsPlusNormal"/>
        <w:jc w:val="right"/>
        <w:outlineLvl w:val="0"/>
      </w:pPr>
      <w:r>
        <w:t>Приложение</w:t>
      </w:r>
    </w:p>
    <w:p w:rsidR="001B2462" w:rsidRDefault="001B2462">
      <w:pPr>
        <w:pStyle w:val="ConsPlusNormal"/>
        <w:jc w:val="right"/>
      </w:pPr>
      <w:r>
        <w:t>к приказу</w:t>
      </w:r>
    </w:p>
    <w:p w:rsidR="001B2462" w:rsidRDefault="001B2462">
      <w:pPr>
        <w:pStyle w:val="ConsPlusNormal"/>
        <w:jc w:val="right"/>
      </w:pPr>
      <w:r>
        <w:t>министра культуры</w:t>
      </w:r>
    </w:p>
    <w:p w:rsidR="001B2462" w:rsidRDefault="001B2462">
      <w:pPr>
        <w:pStyle w:val="ConsPlusNormal"/>
        <w:jc w:val="right"/>
      </w:pPr>
      <w:r>
        <w:t>Республики Татарстан</w:t>
      </w:r>
    </w:p>
    <w:p w:rsidR="001B2462" w:rsidRDefault="001B2462">
      <w:pPr>
        <w:pStyle w:val="ConsPlusNormal"/>
        <w:jc w:val="right"/>
      </w:pPr>
      <w:r>
        <w:t>от 4 июня 2007 г. N 343</w:t>
      </w:r>
    </w:p>
    <w:p w:rsidR="001B2462" w:rsidRDefault="001B2462">
      <w:pPr>
        <w:pStyle w:val="ConsPlusNormal"/>
        <w:jc w:val="center"/>
      </w:pPr>
    </w:p>
    <w:p w:rsidR="001B2462" w:rsidRDefault="001B2462">
      <w:pPr>
        <w:pStyle w:val="ConsPlusTitle"/>
        <w:jc w:val="center"/>
      </w:pPr>
      <w:bookmarkStart w:id="0" w:name="P36"/>
      <w:bookmarkEnd w:id="0"/>
      <w:r>
        <w:t>ПОЛОЖЕНИЕ</w:t>
      </w:r>
    </w:p>
    <w:p w:rsidR="001B2462" w:rsidRDefault="001B2462">
      <w:pPr>
        <w:pStyle w:val="ConsPlusTitle"/>
        <w:jc w:val="center"/>
      </w:pPr>
      <w:r>
        <w:t>О ПОРЯДКЕ ПРЕДОСТАВЛЕНИЯ ГРАНТОВ ПРАВИТЕЛЬСТВА</w:t>
      </w:r>
    </w:p>
    <w:p w:rsidR="001B2462" w:rsidRDefault="001B2462">
      <w:pPr>
        <w:pStyle w:val="ConsPlusTitle"/>
        <w:jc w:val="center"/>
      </w:pPr>
      <w:r>
        <w:t>РЕСПУБЛИКИ ТАТАРСТАН ДЛЯ ПОДДЕРЖКИ ПРОЕКТОВ ТВОРЧЕСКИХ</w:t>
      </w:r>
    </w:p>
    <w:p w:rsidR="001B2462" w:rsidRDefault="001B2462">
      <w:pPr>
        <w:pStyle w:val="ConsPlusTitle"/>
        <w:jc w:val="center"/>
      </w:pPr>
      <w:r>
        <w:t>КОЛЛЕКТИВОВ МУНИЦИПАЛЬНЫХ УЧРЕЖДЕНИЙ КУЛЬТУРЫ И ИСКУССТВА</w:t>
      </w:r>
    </w:p>
    <w:p w:rsidR="001B2462" w:rsidRDefault="001B2462">
      <w:pPr>
        <w:pStyle w:val="ConsPlusNormal"/>
        <w:jc w:val="center"/>
      </w:pPr>
    </w:p>
    <w:p w:rsidR="001B2462" w:rsidRDefault="001B2462">
      <w:pPr>
        <w:pStyle w:val="ConsPlusNormal"/>
        <w:jc w:val="center"/>
      </w:pPr>
      <w:r>
        <w:t>Список изменяющих документов</w:t>
      </w:r>
    </w:p>
    <w:p w:rsidR="001B2462" w:rsidRDefault="001B2462">
      <w:pPr>
        <w:pStyle w:val="ConsPlusNormal"/>
        <w:jc w:val="center"/>
      </w:pPr>
      <w:r>
        <w:t xml:space="preserve">(в ред. </w:t>
      </w:r>
      <w:hyperlink r:id="rId8" w:history="1">
        <w:r>
          <w:rPr>
            <w:color w:val="0000FF"/>
          </w:rPr>
          <w:t>Приказа</w:t>
        </w:r>
      </w:hyperlink>
      <w:r>
        <w:t xml:space="preserve"> Минкультуры РТ от 31.03.2009 N 173)</w:t>
      </w:r>
    </w:p>
    <w:p w:rsidR="001B2462" w:rsidRDefault="001B2462">
      <w:pPr>
        <w:pStyle w:val="ConsPlusNormal"/>
        <w:jc w:val="center"/>
      </w:pPr>
    </w:p>
    <w:p w:rsidR="001B2462" w:rsidRDefault="001B2462">
      <w:pPr>
        <w:pStyle w:val="ConsPlusNormal"/>
        <w:jc w:val="center"/>
        <w:outlineLvl w:val="1"/>
      </w:pPr>
      <w:r>
        <w:t>ОБЩИЕ ПОЛОЖЕНИЯ</w:t>
      </w:r>
    </w:p>
    <w:p w:rsidR="001B2462" w:rsidRDefault="001B2462">
      <w:pPr>
        <w:pStyle w:val="ConsPlusNormal"/>
        <w:jc w:val="center"/>
      </w:pPr>
    </w:p>
    <w:p w:rsidR="001B2462" w:rsidRDefault="001B2462">
      <w:pPr>
        <w:pStyle w:val="ConsPlusNormal"/>
        <w:ind w:firstLine="540"/>
        <w:jc w:val="both"/>
      </w:pPr>
      <w:r>
        <w:t xml:space="preserve">1. Настоящее положение разработано с целью реализации </w:t>
      </w:r>
      <w:hyperlink r:id="rId9" w:history="1">
        <w:r>
          <w:rPr>
            <w:color w:val="0000FF"/>
          </w:rPr>
          <w:t>статьи 28.2</w:t>
        </w:r>
      </w:hyperlink>
      <w:r>
        <w:t xml:space="preserve"> Закона Республики </w:t>
      </w:r>
      <w:r>
        <w:lastRenderedPageBreak/>
        <w:t xml:space="preserve">Татарстан "О культуре" в соответствии с </w:t>
      </w:r>
      <w:hyperlink r:id="rId10" w:history="1">
        <w:r>
          <w:rPr>
            <w:color w:val="0000FF"/>
          </w:rPr>
          <w:t>постановлением</w:t>
        </w:r>
      </w:hyperlink>
      <w:r>
        <w:t xml:space="preserve"> Кабинета Министров Республики Татарстан от 14.05.2007 N 181 "Об учреждении грантов Правительства Республики Татарстан для поддержки проектов творческих коллективов муниципальных учреждений культуры и искусства".</w:t>
      </w:r>
    </w:p>
    <w:p w:rsidR="001B2462" w:rsidRDefault="001B2462">
      <w:pPr>
        <w:pStyle w:val="ConsPlusNormal"/>
        <w:ind w:firstLine="540"/>
        <w:jc w:val="both"/>
      </w:pPr>
      <w:r>
        <w:t>2. Настоящее Положение определяет порядок ежегодного предоставления грантов Правительства Республики Татарстан для поддержки проектов творческих коллективов муниципальных учреждений культуры и искусства (далее - гранты).</w:t>
      </w:r>
    </w:p>
    <w:p w:rsidR="001B2462" w:rsidRDefault="001B2462">
      <w:pPr>
        <w:pStyle w:val="ConsPlusNormal"/>
        <w:ind w:firstLine="540"/>
        <w:jc w:val="both"/>
      </w:pPr>
      <w:bookmarkStart w:id="1" w:name="P48"/>
      <w:bookmarkEnd w:id="1"/>
      <w:r>
        <w:t>3. Гранты присуждаются по следующим номинациям:</w:t>
      </w:r>
    </w:p>
    <w:p w:rsidR="001B2462" w:rsidRDefault="001B2462">
      <w:pPr>
        <w:pStyle w:val="ConsPlusNormal"/>
        <w:ind w:firstLine="540"/>
        <w:jc w:val="both"/>
      </w:pPr>
      <w:r>
        <w:t>изобразительное искусство, дизайн и архитектура;</w:t>
      </w:r>
    </w:p>
    <w:p w:rsidR="001B2462" w:rsidRDefault="001B2462">
      <w:pPr>
        <w:pStyle w:val="ConsPlusNormal"/>
        <w:ind w:firstLine="540"/>
        <w:jc w:val="both"/>
      </w:pPr>
      <w:r>
        <w:t>театральное искусство;</w:t>
      </w:r>
    </w:p>
    <w:p w:rsidR="001B2462" w:rsidRDefault="001B2462">
      <w:pPr>
        <w:pStyle w:val="ConsPlusNormal"/>
        <w:ind w:firstLine="540"/>
        <w:jc w:val="both"/>
      </w:pPr>
      <w:r>
        <w:t>музыкальное искусство;</w:t>
      </w:r>
    </w:p>
    <w:p w:rsidR="001B2462" w:rsidRDefault="001B2462">
      <w:pPr>
        <w:pStyle w:val="ConsPlusNormal"/>
        <w:ind w:firstLine="540"/>
        <w:jc w:val="both"/>
      </w:pPr>
      <w:r>
        <w:t>хореографическое искусство, народный танец;</w:t>
      </w:r>
    </w:p>
    <w:p w:rsidR="001B2462" w:rsidRDefault="001B2462">
      <w:pPr>
        <w:pStyle w:val="ConsPlusNormal"/>
        <w:ind w:firstLine="540"/>
        <w:jc w:val="both"/>
      </w:pPr>
      <w:r>
        <w:t>цирковое искусство;</w:t>
      </w:r>
    </w:p>
    <w:p w:rsidR="001B2462" w:rsidRDefault="001B2462">
      <w:pPr>
        <w:pStyle w:val="ConsPlusNormal"/>
        <w:ind w:firstLine="540"/>
        <w:jc w:val="both"/>
      </w:pPr>
      <w:r>
        <w:t>художественные промыслы и ремесла;</w:t>
      </w:r>
    </w:p>
    <w:p w:rsidR="001B2462" w:rsidRDefault="001B2462">
      <w:pPr>
        <w:pStyle w:val="ConsPlusNormal"/>
        <w:ind w:firstLine="540"/>
        <w:jc w:val="both"/>
      </w:pPr>
      <w:r>
        <w:t>художественное образование;</w:t>
      </w:r>
    </w:p>
    <w:p w:rsidR="001B2462" w:rsidRDefault="001B2462">
      <w:pPr>
        <w:pStyle w:val="ConsPlusNormal"/>
        <w:ind w:firstLine="540"/>
        <w:jc w:val="both"/>
      </w:pPr>
      <w:r>
        <w:t>музыкальное образование;</w:t>
      </w:r>
    </w:p>
    <w:p w:rsidR="001B2462" w:rsidRDefault="001B2462">
      <w:pPr>
        <w:pStyle w:val="ConsPlusNormal"/>
        <w:ind w:firstLine="540"/>
        <w:jc w:val="both"/>
      </w:pPr>
      <w:r>
        <w:t>научные исследования в области культурологии и искусствоведения;</w:t>
      </w:r>
    </w:p>
    <w:p w:rsidR="001B2462" w:rsidRDefault="001B2462">
      <w:pPr>
        <w:pStyle w:val="ConsPlusNormal"/>
        <w:ind w:firstLine="540"/>
        <w:jc w:val="both"/>
      </w:pPr>
      <w:r>
        <w:t>музейно-выставочная деятельность;</w:t>
      </w:r>
    </w:p>
    <w:p w:rsidR="001B2462" w:rsidRDefault="001B2462">
      <w:pPr>
        <w:pStyle w:val="ConsPlusNormal"/>
        <w:ind w:firstLine="540"/>
        <w:jc w:val="both"/>
      </w:pPr>
      <w:r>
        <w:t>библиотечное дело;</w:t>
      </w:r>
    </w:p>
    <w:p w:rsidR="001B2462" w:rsidRDefault="001B2462">
      <w:pPr>
        <w:pStyle w:val="ConsPlusNormal"/>
        <w:ind w:firstLine="540"/>
        <w:jc w:val="both"/>
      </w:pPr>
      <w:r>
        <w:t>литературная деятельность;</w:t>
      </w:r>
    </w:p>
    <w:p w:rsidR="001B2462" w:rsidRDefault="001B2462">
      <w:pPr>
        <w:pStyle w:val="ConsPlusNormal"/>
        <w:ind w:firstLine="540"/>
        <w:jc w:val="both"/>
      </w:pPr>
      <w:r>
        <w:t>журналистика в области культуры и искусствоведения;</w:t>
      </w:r>
    </w:p>
    <w:p w:rsidR="001B2462" w:rsidRDefault="001B2462">
      <w:pPr>
        <w:pStyle w:val="ConsPlusNormal"/>
        <w:ind w:firstLine="540"/>
        <w:jc w:val="both"/>
      </w:pPr>
      <w:r>
        <w:t>народное художественное творчество.</w:t>
      </w:r>
    </w:p>
    <w:p w:rsidR="001B2462" w:rsidRDefault="001B2462">
      <w:pPr>
        <w:pStyle w:val="ConsPlusNormal"/>
        <w:jc w:val="both"/>
      </w:pPr>
      <w:r>
        <w:t xml:space="preserve">(абзац введен </w:t>
      </w:r>
      <w:hyperlink r:id="rId11" w:history="1">
        <w:r>
          <w:rPr>
            <w:color w:val="0000FF"/>
          </w:rPr>
          <w:t>Приказом</w:t>
        </w:r>
      </w:hyperlink>
      <w:r>
        <w:t xml:space="preserve"> Минкультуры РТ от 31.03.2009 N 173)</w:t>
      </w:r>
    </w:p>
    <w:p w:rsidR="001B2462" w:rsidRDefault="001B2462">
      <w:pPr>
        <w:pStyle w:val="ConsPlusNormal"/>
        <w:ind w:firstLine="540"/>
        <w:jc w:val="both"/>
      </w:pPr>
      <w:r>
        <w:t>По одной и той же номинации может быть определен один или несколько получателей грантов.</w:t>
      </w:r>
    </w:p>
    <w:p w:rsidR="001B2462" w:rsidRDefault="001B2462">
      <w:pPr>
        <w:pStyle w:val="ConsPlusNormal"/>
        <w:ind w:firstLine="540"/>
        <w:jc w:val="both"/>
      </w:pPr>
      <w:r>
        <w:t>4. Соискателями грантов могут выступать творческие коллективы муниципальных учреждений культуры и искусства, представляющие творческие проекты на конкурсный отбор.</w:t>
      </w:r>
    </w:p>
    <w:p w:rsidR="001B2462" w:rsidRDefault="001B2462">
      <w:pPr>
        <w:pStyle w:val="ConsPlusNormal"/>
        <w:ind w:firstLine="540"/>
        <w:jc w:val="both"/>
      </w:pPr>
      <w:r>
        <w:t>5. Гранты предоставляются в виде целевых безвозмездных субсидий.</w:t>
      </w:r>
    </w:p>
    <w:p w:rsidR="001B2462" w:rsidRDefault="001B2462">
      <w:pPr>
        <w:pStyle w:val="ConsPlusNormal"/>
        <w:ind w:firstLine="540"/>
        <w:jc w:val="both"/>
      </w:pPr>
      <w:r>
        <w:t xml:space="preserve">6. Выделение грантов осуществляется на условиях равного долевого финансирования из бюджета Республики Татарстан и бюджетов муниципальных образований Республики Татарстан, творческие коллективы муниципальных </w:t>
      </w:r>
      <w:proofErr w:type="gramStart"/>
      <w:r>
        <w:t>учреждений</w:t>
      </w:r>
      <w:proofErr w:type="gramEnd"/>
      <w:r>
        <w:t xml:space="preserve"> культуры которых выступают получателями грантов, при этом размер средств, выделяемых на выплату гранта по конкретной номинации из бюджета муниципального образования, должен быть равным размеру средств, выделяемых за счет средств бюджета Республики Татарстан.</w:t>
      </w:r>
    </w:p>
    <w:p w:rsidR="001B2462" w:rsidRDefault="001B2462">
      <w:pPr>
        <w:pStyle w:val="ConsPlusNormal"/>
        <w:jc w:val="center"/>
      </w:pPr>
    </w:p>
    <w:p w:rsidR="001B2462" w:rsidRDefault="001B2462">
      <w:pPr>
        <w:pStyle w:val="ConsPlusNormal"/>
        <w:jc w:val="center"/>
        <w:outlineLvl w:val="1"/>
      </w:pPr>
      <w:r>
        <w:t>ПОРЯДОК ПРИСУЖДЕНИЯ ГРАНТОВ</w:t>
      </w:r>
    </w:p>
    <w:p w:rsidR="001B2462" w:rsidRDefault="001B2462">
      <w:pPr>
        <w:pStyle w:val="ConsPlusNormal"/>
        <w:jc w:val="center"/>
      </w:pPr>
    </w:p>
    <w:p w:rsidR="001B2462" w:rsidRDefault="001B2462">
      <w:pPr>
        <w:pStyle w:val="ConsPlusNormal"/>
        <w:ind w:firstLine="540"/>
        <w:jc w:val="both"/>
      </w:pPr>
      <w:r>
        <w:t>7. Для участия в конкурсе на соискание гранта в срок с 1 апреля по 1 июня текущего года соискатель гранта подает в Министерство культуры Республики Татарстан следующие документы:</w:t>
      </w:r>
    </w:p>
    <w:p w:rsidR="001B2462" w:rsidRDefault="001B2462">
      <w:pPr>
        <w:pStyle w:val="ConsPlusNormal"/>
        <w:jc w:val="both"/>
      </w:pPr>
      <w:r>
        <w:t xml:space="preserve">(в ред. </w:t>
      </w:r>
      <w:hyperlink r:id="rId12" w:history="1">
        <w:r>
          <w:rPr>
            <w:color w:val="0000FF"/>
          </w:rPr>
          <w:t>Приказа</w:t>
        </w:r>
      </w:hyperlink>
      <w:r>
        <w:t xml:space="preserve"> Минкультуры РТ от 31.03.2009 N 173)</w:t>
      </w:r>
    </w:p>
    <w:p w:rsidR="001B2462" w:rsidRDefault="001B2462">
      <w:pPr>
        <w:pStyle w:val="ConsPlusNormal"/>
        <w:ind w:firstLine="540"/>
        <w:jc w:val="both"/>
      </w:pPr>
      <w:r>
        <w:t>заявку на получение гранта (форма заявки утверждается приказом министра культуры Республики Татарстан);</w:t>
      </w:r>
    </w:p>
    <w:p w:rsidR="001B2462" w:rsidRDefault="001B2462">
      <w:pPr>
        <w:pStyle w:val="ConsPlusNormal"/>
        <w:pBdr>
          <w:top w:val="single" w:sz="6" w:space="0" w:color="auto"/>
        </w:pBdr>
        <w:spacing w:before="100" w:after="100"/>
        <w:jc w:val="both"/>
        <w:rPr>
          <w:sz w:val="2"/>
          <w:szCs w:val="2"/>
        </w:rPr>
      </w:pPr>
    </w:p>
    <w:p w:rsidR="001B2462" w:rsidRDefault="001B2462">
      <w:pPr>
        <w:pStyle w:val="ConsPlusNormal"/>
        <w:ind w:firstLine="540"/>
        <w:jc w:val="both"/>
      </w:pPr>
      <w:r>
        <w:rPr>
          <w:color w:val="0A2666"/>
        </w:rPr>
        <w:t>КонсультантПлюс: примечание.</w:t>
      </w:r>
    </w:p>
    <w:p w:rsidR="001B2462" w:rsidRDefault="001B2462">
      <w:pPr>
        <w:pStyle w:val="ConsPlusNormal"/>
        <w:ind w:firstLine="540"/>
        <w:jc w:val="both"/>
      </w:pPr>
      <w:r>
        <w:rPr>
          <w:color w:val="0A2666"/>
        </w:rPr>
        <w:t>Смета расходов (форма) не приводится.</w:t>
      </w:r>
    </w:p>
    <w:p w:rsidR="001B2462" w:rsidRDefault="001B2462">
      <w:pPr>
        <w:pStyle w:val="ConsPlusNormal"/>
        <w:pBdr>
          <w:top w:val="single" w:sz="6" w:space="0" w:color="auto"/>
        </w:pBdr>
        <w:spacing w:before="100" w:after="100"/>
        <w:jc w:val="both"/>
        <w:rPr>
          <w:sz w:val="2"/>
          <w:szCs w:val="2"/>
        </w:rPr>
      </w:pPr>
    </w:p>
    <w:p w:rsidR="001B2462" w:rsidRDefault="001B2462">
      <w:pPr>
        <w:pStyle w:val="ConsPlusNormal"/>
        <w:ind w:firstLine="540"/>
        <w:jc w:val="both"/>
      </w:pPr>
      <w:r>
        <w:t>смету расходов для реализации конкретного проекта (форма);</w:t>
      </w:r>
    </w:p>
    <w:p w:rsidR="001B2462" w:rsidRDefault="001B2462">
      <w:pPr>
        <w:pStyle w:val="ConsPlusNormal"/>
        <w:ind w:firstLine="540"/>
        <w:jc w:val="both"/>
      </w:pPr>
      <w:r>
        <w:t>материалы, раскрывающие более полно содержание проекта (рекомендации к изложению проекта), включающие в себя введение, описание проблемы, цели и задачи проекта, способы деятельности, финансирование (в произвольной форме).</w:t>
      </w:r>
    </w:p>
    <w:p w:rsidR="001B2462" w:rsidRDefault="001B2462">
      <w:pPr>
        <w:pStyle w:val="ConsPlusNormal"/>
        <w:ind w:firstLine="540"/>
        <w:jc w:val="both"/>
      </w:pPr>
      <w:r>
        <w:t xml:space="preserve">8. Число номинаций, установленных в </w:t>
      </w:r>
      <w:hyperlink w:anchor="P48" w:history="1">
        <w:r>
          <w:rPr>
            <w:color w:val="0000FF"/>
          </w:rPr>
          <w:t>п. 3</w:t>
        </w:r>
      </w:hyperlink>
      <w:r>
        <w:t xml:space="preserve"> настоящего Положения, может быть сокращено в случае непредставления документов, необходимых для соискания гранта по конкретной номинации. В случае если на соискание гранта по конкретной номинации документы предоставляются только одним лицом, вопрос о выделении гранта без конкурса решается Советом по определению получателей грантов (далее - Совет по грантам), состав которого определяется приказом министра культуры Республики Татарстан.</w:t>
      </w:r>
    </w:p>
    <w:p w:rsidR="001B2462" w:rsidRDefault="001B2462">
      <w:pPr>
        <w:pStyle w:val="ConsPlusNormal"/>
        <w:ind w:firstLine="540"/>
        <w:jc w:val="both"/>
      </w:pPr>
      <w:r>
        <w:t xml:space="preserve">9. Представленные документы рассматриваются на Совете в соответствии с критериями оценки творческих проектов, установленных в </w:t>
      </w:r>
      <w:hyperlink w:anchor="P82" w:history="1">
        <w:r>
          <w:rPr>
            <w:color w:val="0000FF"/>
          </w:rPr>
          <w:t>п. 10</w:t>
        </w:r>
      </w:hyperlink>
      <w:r>
        <w:t xml:space="preserve"> настоящего Положения.</w:t>
      </w:r>
    </w:p>
    <w:p w:rsidR="001B2462" w:rsidRDefault="001B2462">
      <w:pPr>
        <w:pStyle w:val="ConsPlusNormal"/>
        <w:ind w:firstLine="540"/>
        <w:jc w:val="both"/>
      </w:pPr>
      <w:bookmarkStart w:id="2" w:name="P82"/>
      <w:bookmarkEnd w:id="2"/>
      <w:r>
        <w:t>10. Критериями оценки творческих проектов являются:</w:t>
      </w:r>
    </w:p>
    <w:p w:rsidR="001B2462" w:rsidRDefault="001B2462">
      <w:pPr>
        <w:pStyle w:val="ConsPlusNormal"/>
        <w:ind w:firstLine="540"/>
        <w:jc w:val="both"/>
      </w:pPr>
      <w:r>
        <w:t>актуальность и социальная значимость целей и задач творческого проекта для развития социокультурной сферы в Республике Татарстан;</w:t>
      </w:r>
    </w:p>
    <w:p w:rsidR="001B2462" w:rsidRDefault="001B2462">
      <w:pPr>
        <w:pStyle w:val="ConsPlusNormal"/>
        <w:ind w:firstLine="540"/>
        <w:jc w:val="both"/>
      </w:pPr>
      <w:r>
        <w:t>возможность реализации проекта;</w:t>
      </w:r>
    </w:p>
    <w:p w:rsidR="001B2462" w:rsidRDefault="001B2462">
      <w:pPr>
        <w:pStyle w:val="ConsPlusNormal"/>
        <w:ind w:firstLine="540"/>
        <w:jc w:val="both"/>
      </w:pPr>
      <w:r>
        <w:t>возможность интеграции проекта в российское и международное культурное пространство;</w:t>
      </w:r>
    </w:p>
    <w:p w:rsidR="001B2462" w:rsidRDefault="001B2462">
      <w:pPr>
        <w:pStyle w:val="ConsPlusNormal"/>
        <w:ind w:firstLine="540"/>
        <w:jc w:val="both"/>
      </w:pPr>
      <w:r>
        <w:t>уникальный, новаторский характер проекта;</w:t>
      </w:r>
    </w:p>
    <w:p w:rsidR="001B2462" w:rsidRDefault="001B2462">
      <w:pPr>
        <w:pStyle w:val="ConsPlusNormal"/>
        <w:ind w:firstLine="540"/>
        <w:jc w:val="both"/>
      </w:pPr>
      <w:r>
        <w:t>квалификация участников проекта;</w:t>
      </w:r>
    </w:p>
    <w:p w:rsidR="001B2462" w:rsidRDefault="001B2462">
      <w:pPr>
        <w:pStyle w:val="ConsPlusNormal"/>
        <w:ind w:firstLine="540"/>
        <w:jc w:val="both"/>
      </w:pPr>
      <w:r>
        <w:t>масштабность проекта, количество и художественных статус задействованных творческих сил;</w:t>
      </w:r>
    </w:p>
    <w:p w:rsidR="001B2462" w:rsidRDefault="001B2462">
      <w:pPr>
        <w:pStyle w:val="ConsPlusNormal"/>
        <w:ind w:firstLine="540"/>
        <w:jc w:val="both"/>
      </w:pPr>
      <w:r>
        <w:t>расширение зрительской аудитории.</w:t>
      </w:r>
    </w:p>
    <w:p w:rsidR="001B2462" w:rsidRDefault="001B2462">
      <w:pPr>
        <w:pStyle w:val="ConsPlusNormal"/>
        <w:ind w:firstLine="540"/>
        <w:jc w:val="both"/>
      </w:pPr>
      <w:r>
        <w:t>11. Не позднее чем через 15 дней после окончания срока подачи документов на соискание гранта Совет по грантам определяет количество грантов по каждой номинации и конкретных получателей грантов.</w:t>
      </w:r>
    </w:p>
    <w:p w:rsidR="001B2462" w:rsidRDefault="001B2462">
      <w:pPr>
        <w:pStyle w:val="ConsPlusNormal"/>
        <w:ind w:firstLine="540"/>
        <w:jc w:val="both"/>
      </w:pPr>
      <w:r>
        <w:t>12. Размер гранта, выделяемого каждому получателю гранта, определяется исходя из сметы, заявленной при подаче документов на соискание гранта, с учетом ее финансовой обоснованности на основании приказа министра культуры Республики Татарстан в пределах средств соответствующих бюджетов, выделенных на эти цели.</w:t>
      </w:r>
    </w:p>
    <w:p w:rsidR="001B2462" w:rsidRDefault="001B2462">
      <w:pPr>
        <w:pStyle w:val="ConsPlusNormal"/>
        <w:ind w:firstLine="540"/>
        <w:jc w:val="both"/>
      </w:pPr>
      <w:r>
        <w:t>13. Количество грантов по каждой из номинаций, размер гранта и получатели грантов утверждаются приказом министра культуры Республики Татарстан на основании решения Совета по грантам.</w:t>
      </w:r>
    </w:p>
    <w:p w:rsidR="001B2462" w:rsidRDefault="001B2462">
      <w:pPr>
        <w:pStyle w:val="ConsPlusNormal"/>
        <w:ind w:firstLine="540"/>
        <w:jc w:val="both"/>
      </w:pPr>
      <w:r>
        <w:t xml:space="preserve">14. </w:t>
      </w:r>
      <w:proofErr w:type="gramStart"/>
      <w:r>
        <w:t>После издания приказа министра культуры Республики Татарстан об утверждении решения Совета между Министерством культуры Республики Татарстан и органом местного самоуправления муниципального образования в Республике Татарстан, проекту творческого коллектива муниципального учреждения которого был присужден грант, заключается соглашение, в котором обязательным условием является выделение гранта при равном долевом финансировании из бюджета Республики Татарстан и бюджета соответствующего муниципального образования (далее - Соглашение).</w:t>
      </w:r>
      <w:proofErr w:type="gramEnd"/>
      <w:r>
        <w:t xml:space="preserve"> Проект соглашения утверждается приказом министра культуры Республики Татарстан.</w:t>
      </w:r>
    </w:p>
    <w:p w:rsidR="001B2462" w:rsidRDefault="001B2462">
      <w:pPr>
        <w:pStyle w:val="ConsPlusNormal"/>
        <w:ind w:firstLine="540"/>
        <w:jc w:val="both"/>
      </w:pPr>
      <w:r>
        <w:t>15. В случае отказа органа местного самоуправления муниципального образования в Республике Татарстан, проекту творческого коллектива муниципального учреждения которого был присужден грант, заключать Соглашение на основании решения Совета по грантам министр культуры Республики Татарстан издает приказ о выделении гранта другому получателю гранта.</w:t>
      </w:r>
    </w:p>
    <w:p w:rsidR="001B2462" w:rsidRDefault="001B2462">
      <w:pPr>
        <w:pStyle w:val="ConsPlusNormal"/>
        <w:ind w:firstLine="540"/>
        <w:jc w:val="both"/>
      </w:pPr>
      <w:r>
        <w:t>16. В течение пяти дней со дня издания приказа министра культуры Республики Татарстан на сайте Министерства культуры Республики Татарстан размещается информация о получателях грантов.</w:t>
      </w:r>
    </w:p>
    <w:p w:rsidR="001B2462" w:rsidRDefault="001B2462">
      <w:pPr>
        <w:pStyle w:val="ConsPlusNormal"/>
        <w:jc w:val="center"/>
      </w:pPr>
    </w:p>
    <w:p w:rsidR="001B2462" w:rsidRDefault="001B2462">
      <w:pPr>
        <w:pStyle w:val="ConsPlusNormal"/>
        <w:jc w:val="center"/>
        <w:outlineLvl w:val="1"/>
      </w:pPr>
      <w:r>
        <w:t>ПОРЯДОК ВЫПЛАТЫ СРЕДСТВ ПОЛУЧАТЕЛЯМ ГРАНТОВ</w:t>
      </w:r>
    </w:p>
    <w:p w:rsidR="001B2462" w:rsidRDefault="001B2462">
      <w:pPr>
        <w:pStyle w:val="ConsPlusNormal"/>
        <w:jc w:val="center"/>
      </w:pPr>
    </w:p>
    <w:p w:rsidR="001B2462" w:rsidRDefault="001B2462">
      <w:pPr>
        <w:pStyle w:val="ConsPlusNormal"/>
        <w:ind w:firstLine="540"/>
        <w:jc w:val="both"/>
      </w:pPr>
      <w:r>
        <w:t>17. Перечисление сре</w:t>
      </w:r>
      <w:proofErr w:type="gramStart"/>
      <w:r>
        <w:t>дств дл</w:t>
      </w:r>
      <w:proofErr w:type="gramEnd"/>
      <w:r>
        <w:t>я выплаты грантов осуществляется Министерством культуры Республики Татарстан в форме субсидий на счета получателей, открытые в соответствующих организациях, на основании соглашений между Министерством культуры Республики Татарстан и получателями грантов.</w:t>
      </w:r>
    </w:p>
    <w:p w:rsidR="001B2462" w:rsidRDefault="001B2462">
      <w:pPr>
        <w:pStyle w:val="ConsPlusNormal"/>
        <w:ind w:firstLine="540"/>
        <w:jc w:val="both"/>
      </w:pPr>
      <w:r>
        <w:t>18. Коллективы и организации - получатели грантов (далее - получатели грантов) на основании настоящего Порядка разрабатывают и утверждают соответствующий порядок выплаты сре</w:t>
      </w:r>
      <w:proofErr w:type="gramStart"/>
      <w:r>
        <w:t>дств гр</w:t>
      </w:r>
      <w:proofErr w:type="gramEnd"/>
      <w:r>
        <w:t>антов работникам коллективов.</w:t>
      </w:r>
    </w:p>
    <w:p w:rsidR="001B2462" w:rsidRDefault="001B2462">
      <w:pPr>
        <w:pStyle w:val="ConsPlusNormal"/>
        <w:jc w:val="center"/>
      </w:pPr>
    </w:p>
    <w:p w:rsidR="001B2462" w:rsidRDefault="001B2462">
      <w:pPr>
        <w:pStyle w:val="ConsPlusNormal"/>
        <w:jc w:val="center"/>
        <w:outlineLvl w:val="1"/>
      </w:pPr>
      <w:r>
        <w:t>ПОРЯДОК И СРОКИ ПРЕДОСТАВЛЕНИЯ ОТЧЕТОВ ПОЛУЧАТЕЛЯМИ</w:t>
      </w:r>
    </w:p>
    <w:p w:rsidR="001B2462" w:rsidRDefault="001B2462">
      <w:pPr>
        <w:pStyle w:val="ConsPlusNormal"/>
        <w:jc w:val="center"/>
      </w:pPr>
    </w:p>
    <w:p w:rsidR="001B2462" w:rsidRDefault="001B2462">
      <w:pPr>
        <w:pStyle w:val="ConsPlusNormal"/>
        <w:ind w:firstLine="540"/>
        <w:jc w:val="both"/>
      </w:pPr>
      <w:r>
        <w:t xml:space="preserve">19. Получатели грантов представляют в Министерство культуры Республики Татарстан отчеты о целевом использовании средств, выделенных на выплату грантов, и о результатах творческой деятельности в срок до 1 февраля года, следующего </w:t>
      </w:r>
      <w:proofErr w:type="gramStart"/>
      <w:r>
        <w:t>за</w:t>
      </w:r>
      <w:proofErr w:type="gramEnd"/>
      <w:r>
        <w:t xml:space="preserve"> отчетным.</w:t>
      </w:r>
    </w:p>
    <w:p w:rsidR="001B2462" w:rsidRDefault="001B2462">
      <w:pPr>
        <w:pStyle w:val="ConsPlusNormal"/>
        <w:ind w:firstLine="540"/>
        <w:jc w:val="both"/>
      </w:pPr>
      <w:r>
        <w:t>20. В отчете о результатах творческой деятельности рекомендуется отражать следующие основные позиции:</w:t>
      </w:r>
    </w:p>
    <w:p w:rsidR="001B2462" w:rsidRDefault="001B2462">
      <w:pPr>
        <w:pStyle w:val="ConsPlusNormal"/>
        <w:ind w:firstLine="540"/>
        <w:jc w:val="both"/>
      </w:pPr>
      <w:r>
        <w:t>а) количество творческих проектов;</w:t>
      </w:r>
    </w:p>
    <w:p w:rsidR="001B2462" w:rsidRDefault="001B2462">
      <w:pPr>
        <w:pStyle w:val="ConsPlusNormal"/>
        <w:ind w:firstLine="540"/>
        <w:jc w:val="both"/>
      </w:pPr>
      <w:r>
        <w:t>б) количество зрителей;</w:t>
      </w:r>
    </w:p>
    <w:p w:rsidR="001B2462" w:rsidRDefault="001B2462">
      <w:pPr>
        <w:pStyle w:val="ConsPlusNormal"/>
        <w:ind w:firstLine="540"/>
        <w:jc w:val="both"/>
      </w:pPr>
      <w:r>
        <w:t>в) социальная значимость творческих проектов:</w:t>
      </w:r>
    </w:p>
    <w:p w:rsidR="001B2462" w:rsidRDefault="001B2462">
      <w:pPr>
        <w:pStyle w:val="ConsPlusNormal"/>
        <w:ind w:firstLine="540"/>
        <w:jc w:val="both"/>
      </w:pPr>
      <w:r>
        <w:t>- исполнение произведений для детской и юношеской аудитории;</w:t>
      </w:r>
    </w:p>
    <w:p w:rsidR="001B2462" w:rsidRDefault="001B2462">
      <w:pPr>
        <w:pStyle w:val="ConsPlusNormal"/>
        <w:ind w:firstLine="540"/>
        <w:jc w:val="both"/>
      </w:pPr>
      <w:r>
        <w:t>- исполнение премьер отечественных авторов;</w:t>
      </w:r>
    </w:p>
    <w:p w:rsidR="001B2462" w:rsidRDefault="001B2462">
      <w:pPr>
        <w:pStyle w:val="ConsPlusNormal"/>
        <w:ind w:firstLine="540"/>
        <w:jc w:val="both"/>
      </w:pPr>
      <w:r>
        <w:t>- участие в программах молодых российских исполнителей;</w:t>
      </w:r>
    </w:p>
    <w:p w:rsidR="001B2462" w:rsidRDefault="001B2462">
      <w:pPr>
        <w:pStyle w:val="ConsPlusNormal"/>
        <w:ind w:firstLine="540"/>
        <w:jc w:val="both"/>
      </w:pPr>
      <w:r>
        <w:t>- наличие программ, посвященных значимым государственным датам;</w:t>
      </w:r>
    </w:p>
    <w:p w:rsidR="001B2462" w:rsidRDefault="001B2462">
      <w:pPr>
        <w:pStyle w:val="ConsPlusNormal"/>
        <w:ind w:firstLine="540"/>
        <w:jc w:val="both"/>
      </w:pPr>
      <w:bookmarkStart w:id="3" w:name="_GoBack"/>
      <w:r>
        <w:t>г) количество гастролей в России;</w:t>
      </w:r>
    </w:p>
    <w:bookmarkEnd w:id="3"/>
    <w:p w:rsidR="001B2462" w:rsidRDefault="001B2462">
      <w:pPr>
        <w:pStyle w:val="ConsPlusNormal"/>
        <w:ind w:firstLine="540"/>
        <w:jc w:val="both"/>
      </w:pPr>
      <w:r>
        <w:t>д) количество гастролей за рубежом;</w:t>
      </w:r>
    </w:p>
    <w:p w:rsidR="001B2462" w:rsidRDefault="001B2462">
      <w:pPr>
        <w:pStyle w:val="ConsPlusNormal"/>
        <w:ind w:firstLine="540"/>
        <w:jc w:val="both"/>
      </w:pPr>
      <w:r>
        <w:t>е) обзор мнения общественности (сообщений средств массовой информации) о творческой деятельности коллектива.</w:t>
      </w:r>
    </w:p>
    <w:p w:rsidR="001B2462" w:rsidRDefault="001B2462">
      <w:pPr>
        <w:pStyle w:val="ConsPlusNormal"/>
        <w:ind w:firstLine="540"/>
        <w:jc w:val="both"/>
      </w:pPr>
      <w:r>
        <w:t>21. Отчет о целевом использовании средств, выделенных на выплату грантов, представляется в письменном виде в трех экземплярах по следующей форме:</w:t>
      </w:r>
    </w:p>
    <w:p w:rsidR="001B2462" w:rsidRDefault="001B2462">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200"/>
        <w:gridCol w:w="1080"/>
        <w:gridCol w:w="720"/>
        <w:gridCol w:w="720"/>
        <w:gridCol w:w="1080"/>
        <w:gridCol w:w="720"/>
        <w:gridCol w:w="1200"/>
        <w:gridCol w:w="1080"/>
        <w:gridCol w:w="1200"/>
      </w:tblGrid>
      <w:tr w:rsidR="001B2462">
        <w:trPr>
          <w:trHeight w:val="240"/>
        </w:trPr>
        <w:tc>
          <w:tcPr>
            <w:tcW w:w="1200" w:type="dxa"/>
            <w:vMerge w:val="restart"/>
          </w:tcPr>
          <w:p w:rsidR="001B2462" w:rsidRDefault="001B2462">
            <w:pPr>
              <w:pStyle w:val="ConsPlusNonformat"/>
              <w:jc w:val="both"/>
            </w:pPr>
            <w:r>
              <w:t xml:space="preserve">Направ- </w:t>
            </w:r>
          </w:p>
          <w:p w:rsidR="001B2462" w:rsidRDefault="001B2462">
            <w:pPr>
              <w:pStyle w:val="ConsPlusNonformat"/>
              <w:jc w:val="both"/>
            </w:pPr>
            <w:r>
              <w:t xml:space="preserve">ление   </w:t>
            </w:r>
          </w:p>
          <w:p w:rsidR="001B2462" w:rsidRDefault="001B2462">
            <w:pPr>
              <w:pStyle w:val="ConsPlusNonformat"/>
              <w:jc w:val="both"/>
            </w:pPr>
            <w:r>
              <w:t xml:space="preserve">исполь- </w:t>
            </w:r>
          </w:p>
          <w:p w:rsidR="001B2462" w:rsidRDefault="001B2462">
            <w:pPr>
              <w:pStyle w:val="ConsPlusNonformat"/>
              <w:jc w:val="both"/>
            </w:pPr>
            <w:r>
              <w:t xml:space="preserve">зования </w:t>
            </w:r>
          </w:p>
          <w:p w:rsidR="001B2462" w:rsidRDefault="001B2462">
            <w:pPr>
              <w:pStyle w:val="ConsPlusNonformat"/>
              <w:jc w:val="both"/>
            </w:pPr>
            <w:r>
              <w:t xml:space="preserve">средств </w:t>
            </w:r>
          </w:p>
          <w:p w:rsidR="001B2462" w:rsidRDefault="001B2462">
            <w:pPr>
              <w:pStyle w:val="ConsPlusNonformat"/>
              <w:jc w:val="both"/>
            </w:pPr>
            <w:r>
              <w:t xml:space="preserve">феде-   </w:t>
            </w:r>
          </w:p>
          <w:p w:rsidR="001B2462" w:rsidRDefault="001B2462">
            <w:pPr>
              <w:pStyle w:val="ConsPlusNonformat"/>
              <w:jc w:val="both"/>
            </w:pPr>
            <w:r>
              <w:t>рального</w:t>
            </w:r>
          </w:p>
          <w:p w:rsidR="001B2462" w:rsidRDefault="001B2462">
            <w:pPr>
              <w:pStyle w:val="ConsPlusNonformat"/>
              <w:jc w:val="both"/>
            </w:pPr>
            <w:r>
              <w:t xml:space="preserve">бюджета </w:t>
            </w:r>
          </w:p>
        </w:tc>
        <w:tc>
          <w:tcPr>
            <w:tcW w:w="1080" w:type="dxa"/>
            <w:vMerge w:val="restart"/>
          </w:tcPr>
          <w:p w:rsidR="001B2462" w:rsidRDefault="001B2462">
            <w:pPr>
              <w:pStyle w:val="ConsPlusNonformat"/>
              <w:jc w:val="both"/>
            </w:pPr>
            <w:r>
              <w:t>Количе-</w:t>
            </w:r>
          </w:p>
          <w:p w:rsidR="001B2462" w:rsidRDefault="001B2462">
            <w:pPr>
              <w:pStyle w:val="ConsPlusNonformat"/>
              <w:jc w:val="both"/>
            </w:pPr>
            <w:r>
              <w:t xml:space="preserve">ство   </w:t>
            </w:r>
          </w:p>
          <w:p w:rsidR="001B2462" w:rsidRDefault="001B2462">
            <w:pPr>
              <w:pStyle w:val="ConsPlusNonformat"/>
              <w:jc w:val="both"/>
            </w:pPr>
            <w:r>
              <w:t>получа-</w:t>
            </w:r>
          </w:p>
          <w:p w:rsidR="001B2462" w:rsidRDefault="001B2462">
            <w:pPr>
              <w:pStyle w:val="ConsPlusNonformat"/>
              <w:jc w:val="both"/>
            </w:pPr>
            <w:r>
              <w:t xml:space="preserve">телей  </w:t>
            </w:r>
          </w:p>
          <w:p w:rsidR="001B2462" w:rsidRDefault="001B2462">
            <w:pPr>
              <w:pStyle w:val="ConsPlusNonformat"/>
              <w:jc w:val="both"/>
            </w:pPr>
            <w:r>
              <w:t>грантов</w:t>
            </w:r>
          </w:p>
        </w:tc>
        <w:tc>
          <w:tcPr>
            <w:tcW w:w="3240" w:type="dxa"/>
            <w:gridSpan w:val="4"/>
          </w:tcPr>
          <w:p w:rsidR="001B2462" w:rsidRDefault="001B2462">
            <w:pPr>
              <w:pStyle w:val="ConsPlusNonformat"/>
              <w:jc w:val="both"/>
            </w:pPr>
            <w:r>
              <w:t xml:space="preserve">Код по </w:t>
            </w:r>
            <w:proofErr w:type="gramStart"/>
            <w:r>
              <w:t>функциональной</w:t>
            </w:r>
            <w:proofErr w:type="gramEnd"/>
            <w:r>
              <w:t xml:space="preserve"> </w:t>
            </w:r>
          </w:p>
          <w:p w:rsidR="001B2462" w:rsidRDefault="001B2462">
            <w:pPr>
              <w:pStyle w:val="ConsPlusNonformat"/>
              <w:jc w:val="both"/>
            </w:pPr>
            <w:r>
              <w:t>классификации расходов</w:t>
            </w:r>
          </w:p>
        </w:tc>
        <w:tc>
          <w:tcPr>
            <w:tcW w:w="1200" w:type="dxa"/>
            <w:vMerge w:val="restart"/>
          </w:tcPr>
          <w:p w:rsidR="001B2462" w:rsidRDefault="001B2462">
            <w:pPr>
              <w:pStyle w:val="ConsPlusNonformat"/>
              <w:jc w:val="both"/>
            </w:pPr>
            <w:r>
              <w:t xml:space="preserve">Код по  </w:t>
            </w:r>
          </w:p>
          <w:p w:rsidR="001B2462" w:rsidRDefault="001B2462">
            <w:pPr>
              <w:pStyle w:val="ConsPlusNonformat"/>
              <w:jc w:val="both"/>
            </w:pPr>
            <w:r>
              <w:t>экономи-</w:t>
            </w:r>
          </w:p>
          <w:p w:rsidR="001B2462" w:rsidRDefault="001B2462">
            <w:pPr>
              <w:pStyle w:val="ConsPlusNonformat"/>
              <w:jc w:val="both"/>
            </w:pPr>
            <w:r>
              <w:t xml:space="preserve">ческой  </w:t>
            </w:r>
          </w:p>
          <w:p w:rsidR="001B2462" w:rsidRDefault="001B2462">
            <w:pPr>
              <w:pStyle w:val="ConsPlusNonformat"/>
              <w:jc w:val="both"/>
            </w:pPr>
            <w:r>
              <w:t xml:space="preserve">класси- </w:t>
            </w:r>
          </w:p>
          <w:p w:rsidR="001B2462" w:rsidRDefault="001B2462">
            <w:pPr>
              <w:pStyle w:val="ConsPlusNonformat"/>
              <w:jc w:val="both"/>
            </w:pPr>
            <w:r>
              <w:t xml:space="preserve">фикации </w:t>
            </w:r>
          </w:p>
          <w:p w:rsidR="001B2462" w:rsidRDefault="001B2462">
            <w:pPr>
              <w:pStyle w:val="ConsPlusNonformat"/>
              <w:jc w:val="both"/>
            </w:pPr>
            <w:r>
              <w:t>расходов</w:t>
            </w:r>
          </w:p>
        </w:tc>
        <w:tc>
          <w:tcPr>
            <w:tcW w:w="1080" w:type="dxa"/>
            <w:vMerge w:val="restart"/>
          </w:tcPr>
          <w:p w:rsidR="001B2462" w:rsidRDefault="001B2462">
            <w:pPr>
              <w:pStyle w:val="ConsPlusNonformat"/>
              <w:jc w:val="both"/>
            </w:pPr>
            <w:r>
              <w:t xml:space="preserve">Посту- </w:t>
            </w:r>
          </w:p>
          <w:p w:rsidR="001B2462" w:rsidRDefault="001B2462">
            <w:pPr>
              <w:pStyle w:val="ConsPlusNonformat"/>
              <w:jc w:val="both"/>
            </w:pPr>
            <w:r>
              <w:t xml:space="preserve">пило   </w:t>
            </w:r>
          </w:p>
          <w:p w:rsidR="001B2462" w:rsidRDefault="001B2462">
            <w:pPr>
              <w:pStyle w:val="ConsPlusNonformat"/>
              <w:jc w:val="both"/>
            </w:pPr>
            <w:r>
              <w:t>средств</w:t>
            </w:r>
          </w:p>
          <w:p w:rsidR="001B2462" w:rsidRDefault="001B2462">
            <w:pPr>
              <w:pStyle w:val="ConsPlusNonformat"/>
              <w:jc w:val="both"/>
            </w:pPr>
            <w:r>
              <w:t>с нача-</w:t>
            </w:r>
          </w:p>
          <w:p w:rsidR="001B2462" w:rsidRDefault="001B2462">
            <w:pPr>
              <w:pStyle w:val="ConsPlusNonformat"/>
              <w:jc w:val="both"/>
            </w:pPr>
            <w:r>
              <w:t>ла года</w:t>
            </w:r>
          </w:p>
        </w:tc>
        <w:tc>
          <w:tcPr>
            <w:tcW w:w="1200" w:type="dxa"/>
            <w:vMerge w:val="restart"/>
          </w:tcPr>
          <w:p w:rsidR="001B2462" w:rsidRDefault="001B2462">
            <w:pPr>
              <w:pStyle w:val="ConsPlusNonformat"/>
              <w:jc w:val="both"/>
            </w:pPr>
            <w:r>
              <w:t>Израсхо-</w:t>
            </w:r>
          </w:p>
          <w:p w:rsidR="001B2462" w:rsidRDefault="001B2462">
            <w:pPr>
              <w:pStyle w:val="ConsPlusNonformat"/>
              <w:jc w:val="both"/>
            </w:pPr>
            <w:r>
              <w:t xml:space="preserve">довано  </w:t>
            </w:r>
          </w:p>
          <w:p w:rsidR="001B2462" w:rsidRDefault="001B2462">
            <w:pPr>
              <w:pStyle w:val="ConsPlusNonformat"/>
              <w:jc w:val="both"/>
            </w:pPr>
            <w:r>
              <w:t xml:space="preserve">средств </w:t>
            </w:r>
          </w:p>
          <w:p w:rsidR="001B2462" w:rsidRDefault="001B2462">
            <w:pPr>
              <w:pStyle w:val="ConsPlusNonformat"/>
              <w:jc w:val="both"/>
            </w:pPr>
            <w:r>
              <w:t xml:space="preserve">с нача- </w:t>
            </w:r>
          </w:p>
          <w:p w:rsidR="001B2462" w:rsidRDefault="001B2462">
            <w:pPr>
              <w:pStyle w:val="ConsPlusNonformat"/>
              <w:jc w:val="both"/>
            </w:pPr>
            <w:r>
              <w:t xml:space="preserve">ла года </w:t>
            </w:r>
          </w:p>
        </w:tc>
      </w:tr>
      <w:tr w:rsidR="001B2462">
        <w:tc>
          <w:tcPr>
            <w:tcW w:w="1080" w:type="dxa"/>
            <w:vMerge/>
            <w:tcBorders>
              <w:top w:val="nil"/>
            </w:tcBorders>
          </w:tcPr>
          <w:p w:rsidR="001B2462" w:rsidRDefault="001B2462"/>
        </w:tc>
        <w:tc>
          <w:tcPr>
            <w:tcW w:w="960" w:type="dxa"/>
            <w:vMerge/>
            <w:tcBorders>
              <w:top w:val="nil"/>
            </w:tcBorders>
          </w:tcPr>
          <w:p w:rsidR="001B2462" w:rsidRDefault="001B2462"/>
        </w:tc>
        <w:tc>
          <w:tcPr>
            <w:tcW w:w="720" w:type="dxa"/>
            <w:tcBorders>
              <w:top w:val="nil"/>
            </w:tcBorders>
          </w:tcPr>
          <w:p w:rsidR="001B2462" w:rsidRDefault="001B2462">
            <w:pPr>
              <w:pStyle w:val="ConsPlusNonformat"/>
              <w:jc w:val="both"/>
            </w:pPr>
            <w:r>
              <w:t>раз-</w:t>
            </w:r>
          </w:p>
          <w:p w:rsidR="001B2462" w:rsidRDefault="001B2462">
            <w:pPr>
              <w:pStyle w:val="ConsPlusNonformat"/>
              <w:jc w:val="both"/>
            </w:pPr>
            <w:r>
              <w:t>дела</w:t>
            </w:r>
          </w:p>
        </w:tc>
        <w:tc>
          <w:tcPr>
            <w:tcW w:w="720" w:type="dxa"/>
            <w:tcBorders>
              <w:top w:val="nil"/>
            </w:tcBorders>
          </w:tcPr>
          <w:p w:rsidR="001B2462" w:rsidRDefault="001B2462">
            <w:pPr>
              <w:pStyle w:val="ConsPlusNonformat"/>
              <w:jc w:val="both"/>
            </w:pPr>
            <w:r>
              <w:t>под-</w:t>
            </w:r>
          </w:p>
          <w:p w:rsidR="001B2462" w:rsidRDefault="001B2462">
            <w:pPr>
              <w:pStyle w:val="ConsPlusNonformat"/>
              <w:jc w:val="both"/>
            </w:pPr>
            <w:r>
              <w:t>раз-</w:t>
            </w:r>
          </w:p>
          <w:p w:rsidR="001B2462" w:rsidRDefault="001B2462">
            <w:pPr>
              <w:pStyle w:val="ConsPlusNonformat"/>
              <w:jc w:val="both"/>
            </w:pPr>
            <w:r>
              <w:t>дела</w:t>
            </w:r>
          </w:p>
        </w:tc>
        <w:tc>
          <w:tcPr>
            <w:tcW w:w="1080" w:type="dxa"/>
            <w:tcBorders>
              <w:top w:val="nil"/>
            </w:tcBorders>
          </w:tcPr>
          <w:p w:rsidR="001B2462" w:rsidRDefault="001B2462">
            <w:pPr>
              <w:pStyle w:val="ConsPlusNonformat"/>
              <w:jc w:val="both"/>
            </w:pPr>
            <w:r>
              <w:t>целевой</w:t>
            </w:r>
          </w:p>
          <w:p w:rsidR="001B2462" w:rsidRDefault="001B2462">
            <w:pPr>
              <w:pStyle w:val="ConsPlusNonformat"/>
              <w:jc w:val="both"/>
            </w:pPr>
            <w:r>
              <w:t xml:space="preserve">статьи </w:t>
            </w:r>
          </w:p>
        </w:tc>
        <w:tc>
          <w:tcPr>
            <w:tcW w:w="720" w:type="dxa"/>
            <w:tcBorders>
              <w:top w:val="nil"/>
            </w:tcBorders>
          </w:tcPr>
          <w:p w:rsidR="001B2462" w:rsidRDefault="001B2462">
            <w:pPr>
              <w:pStyle w:val="ConsPlusNonformat"/>
              <w:jc w:val="both"/>
            </w:pPr>
            <w:r>
              <w:t>вида</w:t>
            </w:r>
          </w:p>
          <w:p w:rsidR="001B2462" w:rsidRDefault="001B2462">
            <w:pPr>
              <w:pStyle w:val="ConsPlusNonformat"/>
              <w:jc w:val="both"/>
            </w:pPr>
            <w:r>
              <w:t>рас-</w:t>
            </w:r>
          </w:p>
          <w:p w:rsidR="001B2462" w:rsidRDefault="001B2462">
            <w:pPr>
              <w:pStyle w:val="ConsPlusNonformat"/>
              <w:jc w:val="both"/>
            </w:pPr>
            <w:r>
              <w:t>хода</w:t>
            </w:r>
          </w:p>
        </w:tc>
        <w:tc>
          <w:tcPr>
            <w:tcW w:w="1080" w:type="dxa"/>
            <w:vMerge/>
            <w:tcBorders>
              <w:top w:val="nil"/>
            </w:tcBorders>
          </w:tcPr>
          <w:p w:rsidR="001B2462" w:rsidRDefault="001B2462"/>
        </w:tc>
        <w:tc>
          <w:tcPr>
            <w:tcW w:w="960" w:type="dxa"/>
            <w:vMerge/>
            <w:tcBorders>
              <w:top w:val="nil"/>
            </w:tcBorders>
          </w:tcPr>
          <w:p w:rsidR="001B2462" w:rsidRDefault="001B2462"/>
        </w:tc>
        <w:tc>
          <w:tcPr>
            <w:tcW w:w="1080" w:type="dxa"/>
            <w:vMerge/>
            <w:tcBorders>
              <w:top w:val="nil"/>
            </w:tcBorders>
          </w:tcPr>
          <w:p w:rsidR="001B2462" w:rsidRDefault="001B2462"/>
        </w:tc>
      </w:tr>
      <w:tr w:rsidR="001B2462">
        <w:trPr>
          <w:trHeight w:val="240"/>
        </w:trPr>
        <w:tc>
          <w:tcPr>
            <w:tcW w:w="1200" w:type="dxa"/>
            <w:tcBorders>
              <w:top w:val="nil"/>
            </w:tcBorders>
          </w:tcPr>
          <w:p w:rsidR="001B2462" w:rsidRDefault="001B2462">
            <w:pPr>
              <w:pStyle w:val="ConsPlusNonformat"/>
              <w:jc w:val="both"/>
            </w:pPr>
            <w:r>
              <w:t xml:space="preserve">   1    </w:t>
            </w:r>
          </w:p>
        </w:tc>
        <w:tc>
          <w:tcPr>
            <w:tcW w:w="1080" w:type="dxa"/>
            <w:tcBorders>
              <w:top w:val="nil"/>
            </w:tcBorders>
          </w:tcPr>
          <w:p w:rsidR="001B2462" w:rsidRDefault="001B2462">
            <w:pPr>
              <w:pStyle w:val="ConsPlusNonformat"/>
              <w:jc w:val="both"/>
            </w:pPr>
            <w:r>
              <w:t xml:space="preserve">   2   </w:t>
            </w:r>
          </w:p>
        </w:tc>
        <w:tc>
          <w:tcPr>
            <w:tcW w:w="720" w:type="dxa"/>
            <w:tcBorders>
              <w:top w:val="nil"/>
            </w:tcBorders>
          </w:tcPr>
          <w:p w:rsidR="001B2462" w:rsidRDefault="001B2462">
            <w:pPr>
              <w:pStyle w:val="ConsPlusNonformat"/>
              <w:jc w:val="both"/>
            </w:pPr>
            <w:r>
              <w:t xml:space="preserve"> 3  </w:t>
            </w:r>
          </w:p>
        </w:tc>
        <w:tc>
          <w:tcPr>
            <w:tcW w:w="720" w:type="dxa"/>
            <w:tcBorders>
              <w:top w:val="nil"/>
            </w:tcBorders>
          </w:tcPr>
          <w:p w:rsidR="001B2462" w:rsidRDefault="001B2462">
            <w:pPr>
              <w:pStyle w:val="ConsPlusNonformat"/>
              <w:jc w:val="both"/>
            </w:pPr>
            <w:r>
              <w:t xml:space="preserve"> 4  </w:t>
            </w:r>
          </w:p>
        </w:tc>
        <w:tc>
          <w:tcPr>
            <w:tcW w:w="1080" w:type="dxa"/>
            <w:tcBorders>
              <w:top w:val="nil"/>
            </w:tcBorders>
          </w:tcPr>
          <w:p w:rsidR="001B2462" w:rsidRDefault="001B2462">
            <w:pPr>
              <w:pStyle w:val="ConsPlusNonformat"/>
              <w:jc w:val="both"/>
            </w:pPr>
            <w:r>
              <w:t xml:space="preserve">   5   </w:t>
            </w:r>
          </w:p>
        </w:tc>
        <w:tc>
          <w:tcPr>
            <w:tcW w:w="720" w:type="dxa"/>
            <w:tcBorders>
              <w:top w:val="nil"/>
            </w:tcBorders>
          </w:tcPr>
          <w:p w:rsidR="001B2462" w:rsidRDefault="001B2462">
            <w:pPr>
              <w:pStyle w:val="ConsPlusNonformat"/>
              <w:jc w:val="both"/>
            </w:pPr>
            <w:r>
              <w:t xml:space="preserve"> 6  </w:t>
            </w:r>
          </w:p>
        </w:tc>
        <w:tc>
          <w:tcPr>
            <w:tcW w:w="1200" w:type="dxa"/>
            <w:tcBorders>
              <w:top w:val="nil"/>
            </w:tcBorders>
          </w:tcPr>
          <w:p w:rsidR="001B2462" w:rsidRDefault="001B2462">
            <w:pPr>
              <w:pStyle w:val="ConsPlusNonformat"/>
              <w:jc w:val="both"/>
            </w:pPr>
            <w:r>
              <w:t xml:space="preserve">   7    </w:t>
            </w:r>
          </w:p>
        </w:tc>
        <w:tc>
          <w:tcPr>
            <w:tcW w:w="1080" w:type="dxa"/>
            <w:tcBorders>
              <w:top w:val="nil"/>
            </w:tcBorders>
          </w:tcPr>
          <w:p w:rsidR="001B2462" w:rsidRDefault="001B2462">
            <w:pPr>
              <w:pStyle w:val="ConsPlusNonformat"/>
              <w:jc w:val="both"/>
            </w:pPr>
            <w:r>
              <w:t xml:space="preserve">   8   </w:t>
            </w:r>
          </w:p>
        </w:tc>
        <w:tc>
          <w:tcPr>
            <w:tcW w:w="1200" w:type="dxa"/>
            <w:tcBorders>
              <w:top w:val="nil"/>
            </w:tcBorders>
          </w:tcPr>
          <w:p w:rsidR="001B2462" w:rsidRDefault="001B2462">
            <w:pPr>
              <w:pStyle w:val="ConsPlusNonformat"/>
              <w:jc w:val="both"/>
            </w:pPr>
            <w:r>
              <w:t xml:space="preserve">   9    </w:t>
            </w:r>
          </w:p>
        </w:tc>
      </w:tr>
    </w:tbl>
    <w:p w:rsidR="001B2462" w:rsidRDefault="001B2462">
      <w:pPr>
        <w:pStyle w:val="ConsPlusNormal"/>
        <w:ind w:firstLine="540"/>
        <w:jc w:val="both"/>
      </w:pPr>
    </w:p>
    <w:p w:rsidR="001B2462" w:rsidRDefault="001B2462">
      <w:pPr>
        <w:pStyle w:val="ConsPlusNormal"/>
        <w:ind w:firstLine="540"/>
        <w:jc w:val="both"/>
      </w:pPr>
      <w:r>
        <w:t>22. К отчету прилагаются копии первичных финансовых документов.</w:t>
      </w:r>
    </w:p>
    <w:p w:rsidR="001B2462" w:rsidRDefault="001B2462">
      <w:pPr>
        <w:pStyle w:val="ConsPlusNormal"/>
        <w:ind w:firstLine="540"/>
        <w:jc w:val="both"/>
      </w:pPr>
    </w:p>
    <w:p w:rsidR="001B2462" w:rsidRDefault="001B2462">
      <w:pPr>
        <w:pStyle w:val="ConsPlusNormal"/>
        <w:ind w:firstLine="540"/>
        <w:jc w:val="both"/>
      </w:pPr>
    </w:p>
    <w:p w:rsidR="001B2462" w:rsidRDefault="001B2462">
      <w:pPr>
        <w:pStyle w:val="ConsPlusNormal"/>
        <w:pBdr>
          <w:top w:val="single" w:sz="6" w:space="0" w:color="auto"/>
        </w:pBdr>
        <w:spacing w:before="100" w:after="100"/>
        <w:jc w:val="both"/>
        <w:rPr>
          <w:sz w:val="2"/>
          <w:szCs w:val="2"/>
        </w:rPr>
      </w:pPr>
    </w:p>
    <w:p w:rsidR="00A46983" w:rsidRDefault="00A46983"/>
    <w:sectPr w:rsidR="00A46983" w:rsidSect="003C13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462"/>
    <w:rsid w:val="001B2462"/>
    <w:rsid w:val="00A46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4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24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246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4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B24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B246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A15160DB58F61FA31700DA57468169F1F023605AD9A364AEDE579F14F7136EA25D576F98CB832F389FC947eB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1A15160DB58F61FA31700DA57468169F1F0236058DFA264A8DE579F14F7136E4Ae2J" TargetMode="External"/><Relationship Id="rId12" Type="http://schemas.openxmlformats.org/officeDocument/2006/relationships/hyperlink" Target="consultantplus://offline/ref=F1A15160DB58F61FA31700DA57468169F1F023605AD9A364AEDE579F14F7136EA25D576F98CB832F389FC947e5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1A15160DB58F61FA31700DA57468169F1F023605AD9A364AEDE579F14F7136EA25D576F98CB832F389FC947eBJ" TargetMode="External"/><Relationship Id="rId11" Type="http://schemas.openxmlformats.org/officeDocument/2006/relationships/hyperlink" Target="consultantplus://offline/ref=F1A15160DB58F61FA31700DA57468169F1F023605AD9A364AEDE579F14F7136EA25D576F98CB832F389FC947eAJ" TargetMode="External"/><Relationship Id="rId5" Type="http://schemas.openxmlformats.org/officeDocument/2006/relationships/hyperlink" Target="http://www.consultant.ru" TargetMode="External"/><Relationship Id="rId10" Type="http://schemas.openxmlformats.org/officeDocument/2006/relationships/hyperlink" Target="consultantplus://offline/ref=F1A15160DB58F61FA31700DA57468169F1F0236058DFA264A8DE579F14F7136E4Ae2J" TargetMode="External"/><Relationship Id="rId4" Type="http://schemas.openxmlformats.org/officeDocument/2006/relationships/webSettings" Target="webSettings.xml"/><Relationship Id="rId9" Type="http://schemas.openxmlformats.org/officeDocument/2006/relationships/hyperlink" Target="consultantplus://offline/ref=F1A15160DB58F61FA31700DA57468169F1F0236056DDA66CA7DE579F14F7136EA25D576F98CB832F389DCE47eF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8747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Зарегистрировано в Минюсте РТ 3 июля 2007 г. N 272</vt:lpstr>
      <vt:lpstr>Приложение</vt:lpstr>
      <vt:lpstr>    ОБЩИЕ ПОЛОЖЕНИЯ</vt:lpstr>
      <vt:lpstr>    ПОРЯДОК ПРИСУЖДЕНИЯ ГРАНТОВ</vt:lpstr>
      <vt:lpstr>    ПОРЯДОК ВЫПЛАТЫ СРЕДСТВ ПОЛУЧАТЕЛЯМ ГРАНТОВ</vt:lpstr>
      <vt:lpstr>    ПОРЯДОК И СРОКИ ПРЕДОСТАВЛЕНИЯ ОТЧЕТОВ ПОЛУЧАТЕЛЯМИ</vt:lpstr>
    </vt:vector>
  </TitlesOfParts>
  <Company/>
  <LinksUpToDate>false</LinksUpToDate>
  <CharactersWithSpaces>10261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Сулейманова Альбина Асгатовна</dc:creator>
  <cp:lastModifiedBy>Сулейманова Альбина Асгатовна</cp:lastModifiedBy>
  <cp:revision>1</cp:revision>
  <dcterms:created xsi:type="dcterms:W3CDTF">2017-03-28T09:30:00Z</dcterms:created>
  <dcterms:modified xsi:type="dcterms:W3CDTF">2017-03-28T09:31:00Z</dcterms:modified>
</cp:coreProperties>
</file>