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AE" w:rsidRPr="003217CD" w:rsidRDefault="000631AE" w:rsidP="000631AE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7C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выполнении Программы Министерства культуры Республики Татарстан на 2015-2020 годы</w:t>
      </w:r>
      <w:r w:rsidRPr="00321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1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реализации </w:t>
      </w:r>
      <w:proofErr w:type="gramStart"/>
      <w:r w:rsidRPr="003217CD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  политики</w:t>
      </w:r>
      <w:proofErr w:type="gramEnd"/>
      <w:r w:rsidRPr="00321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2015-2020 годы</w:t>
      </w:r>
    </w:p>
    <w:p w:rsidR="000631AE" w:rsidRPr="003217CD" w:rsidRDefault="000631AE" w:rsidP="000631AE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работы </w:t>
      </w:r>
      <w:r w:rsidRPr="003217C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21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квартала 2016 года</w:t>
      </w:r>
    </w:p>
    <w:p w:rsidR="000631AE" w:rsidRPr="003217CD" w:rsidRDefault="000631A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05315" w:rsidRPr="003217CD" w:rsidRDefault="003217C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7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3217CD">
        <w:rPr>
          <w:rFonts w:ascii="Times New Roman" w:hAnsi="Times New Roman" w:cs="Times New Roman"/>
          <w:color w:val="000000" w:themeColor="text1"/>
          <w:sz w:val="24"/>
          <w:szCs w:val="24"/>
        </w:rPr>
        <w:t>. Основные программные мероприятия.</w:t>
      </w:r>
    </w:p>
    <w:p w:rsidR="00A05315" w:rsidRPr="003217CD" w:rsidRDefault="00A05315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  <w:bookmarkStart w:id="0" w:name="Par161"/>
      <w:bookmarkStart w:id="1" w:name="Par224"/>
      <w:bookmarkEnd w:id="0"/>
      <w:bookmarkEnd w:id="1"/>
    </w:p>
    <w:tbl>
      <w:tblPr>
        <w:tblStyle w:val="aa"/>
        <w:tblW w:w="14601" w:type="dxa"/>
        <w:tblInd w:w="-343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7080"/>
        <w:gridCol w:w="7521"/>
      </w:tblGrid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A05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315" w:rsidRPr="003217CD" w:rsidRDefault="003217C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исполнении</w:t>
            </w:r>
          </w:p>
        </w:tc>
      </w:tr>
      <w:tr w:rsidR="003217CD" w:rsidRPr="003217CD">
        <w:tc>
          <w:tcPr>
            <w:tcW w:w="14600" w:type="dxa"/>
            <w:gridSpan w:val="2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 в Министерстве</w:t>
            </w: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 Разработка и внесение изменений в ведомственные нормативные правовые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3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Приказами Министерства культуры РТ утверждены:</w:t>
            </w:r>
          </w:p>
          <w:p w:rsidR="00A05315" w:rsidRPr="003217CD" w:rsidRDefault="003217CD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Положение о порядке принятия государственными гр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ажданскими служащими Республики Татарстан в Министерстве культуры Республики Татарстан почетных и специальных званий, наград иностранных государств, международных организаций, политических   партий, других общественных объединений и религиозных объединений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(приказ от 24.03.2016 № 238 од);</w:t>
            </w:r>
          </w:p>
          <w:p w:rsidR="00A05315" w:rsidRPr="003217CD" w:rsidRDefault="003217CD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Порядок сообщения государственными гражданскими служащими Республики Татарстан в Министерстве культуры Республики Татарстан о возникновении личной заинтересованности при исполнении должностных обязанностей, которая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приводит или может привести к конфликту интересов (приказ от 24.03.2016 № 239 од).</w:t>
            </w:r>
          </w:p>
          <w:p w:rsidR="00A05315" w:rsidRPr="003217CD" w:rsidRDefault="003217CD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- новый состав Комиссии Министерства культуры Республики Татарстан по соблюдению требований к служебному поведению государственных гражданских служащих и урегулированию</w:t>
            </w:r>
            <w:r w:rsidRPr="003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конфликта интересов (приказ от 24.03.2016 № 241 од</w:t>
            </w:r>
            <w:proofErr w:type="gramStart"/>
            <w:r w:rsidRPr="003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).   </w:t>
            </w:r>
            <w:proofErr w:type="gramEnd"/>
            <w:r w:rsidRPr="003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1.2..Действенное функционирование должностных лиц кадровых служб, ответственного лица за работу по профилактике коррупционных и иных правонарушений Министерства  (с освобождением от иных функций, не относящихся к антикоррупционной работе) в соответствии с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Указами Президента Российской Федерации от 21 сентября 2009 года </w:t>
            </w:r>
            <w:hyperlink r:id="rId5">
              <w:r w:rsidRPr="003217C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1065</w:t>
              </w:r>
            </w:hyperlink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Президента Республики Татарстан от 1 ноября 2010 года </w:t>
            </w:r>
            <w:hyperlink r:id="rId6">
              <w:r w:rsidRPr="003217C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УП-711</w:t>
              </w:r>
            </w:hyperlink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соблюдение принципа стабильности кадров, осуществляющих вышеуказанные функции.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  Лицом, ответственным за работу по профилактике коррупционных и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иных правонарушений </w:t>
            </w:r>
            <w:proofErr w:type="gramStart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является  Файзуллина</w:t>
            </w:r>
            <w:proofErr w:type="gramEnd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Ф.И., ведущий советник отдела кадров (приказ от 29.09.2010     № 638). Работа ответственного за работу по профилактике коррупционных и иных правонарушений осуществляется в соответствии с Указами Президента Российск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ой Федерации от 21 сентября 2009 года № 1065 и Президента Республики Татарстан от 1 ноября 2010 года </w:t>
            </w:r>
            <w:proofErr w:type="gramStart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  УП</w:t>
            </w:r>
            <w:proofErr w:type="gramEnd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-711. </w:t>
            </w:r>
          </w:p>
          <w:p w:rsidR="00A05315" w:rsidRPr="003217CD" w:rsidRDefault="003217C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21 марта 2016 года в министерстве состоялось совещание с сотрудниками министерства и руководителей подведомственных </w:t>
            </w:r>
            <w:proofErr w:type="gramStart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учреждений  по</w:t>
            </w:r>
            <w:proofErr w:type="gramEnd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вопросу пре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дставления сведений о доходах, расходах, 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 имуществе и обязательствах имущественного характера с приглашением  </w:t>
            </w:r>
            <w:proofErr w:type="spellStart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С.Ф.Рахимова</w:t>
            </w:r>
            <w:proofErr w:type="spellEnd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 заведующего сектором по работе со сведениями о доходах, расходах, имущества и обязательствах имущественного характера Управления П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резидента РТ по вопросам противодействия коррупции.</w:t>
            </w:r>
          </w:p>
          <w:p w:rsidR="00A05315" w:rsidRPr="003217CD" w:rsidRDefault="0032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1.2.1. Проведение с соблюдением требований законодательства о государственной службе, о противодействии коррупции проверки достоверности и полноты сведений о доходах, расходах, об имуществе и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обязательствах имущественного характера служащих, своих супруги (супруга) и несовершеннолетних детей, представляемых государственными служащими Министерства, а также </w:t>
            </w:r>
            <w:proofErr w:type="gram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лицами,  замещающими</w:t>
            </w:r>
            <w:proofErr w:type="gram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государственные  должности.</w:t>
            </w:r>
          </w:p>
          <w:p w:rsidR="00A05315" w:rsidRPr="003217CD" w:rsidRDefault="003217CD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органов Прокуратуры Респуб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Татарстан о нарушениях, выявленных в ходе проверок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3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Приказом от 23.07.2015   № 783 од утвержден Перечень </w:t>
            </w:r>
            <w:r w:rsidRPr="003217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должностей государственной гражданской службы  Республики Татарстан в      Министерстве культуры Республики Татарстан, замещение которых св</w:t>
            </w:r>
            <w:r w:rsidRPr="003217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</w:t>
            </w:r>
            <w:r w:rsidRPr="003217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имущественного характера своих супруги (супруга) и несовершеннолетних детей. </w:t>
            </w:r>
          </w:p>
          <w:p w:rsidR="00A05315" w:rsidRPr="003217CD" w:rsidRDefault="003217C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</w:t>
            </w:r>
            <w:r w:rsidRPr="003217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доходах, об имуществе и обязательствах имущественного характера за 2015 год представили 41 государственный гражданский служащий министерства.  </w:t>
            </w:r>
          </w:p>
          <w:p w:rsidR="00A05315" w:rsidRPr="003217CD" w:rsidRDefault="003217CD" w:rsidP="000631A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 Пров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За данный период сообщений о коррупционных правонарушениях гражданских служащих министерства не поступало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5315" w:rsidRPr="003217CD" w:rsidRDefault="00A053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1.2.3. Проведение проверок информации о наличии или возможности возникновения конфликта интересов у </w:t>
            </w:r>
            <w:proofErr w:type="gram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 служащего</w:t>
            </w:r>
            <w:proofErr w:type="gram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поступающей представителю нанимателя в установленном законодательством порядке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17C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3217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24.03.2016 состоялось заседание Комиссии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Министерства культуры Республики Татарстан по соблюдению требований к служебному поведению государственных гражданских служащих и урегулированию конфликта интересов. На заседании Комиссии р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ассмотрено уведомление государственного гражданского служащего мин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истерства о наличии или отсутствии конфликта интересов в ходе выполнения им должностных обязанностей. Комиссией принято решение об усилении </w:t>
            </w:r>
            <w:proofErr w:type="gramStart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  выполнения</w:t>
            </w:r>
            <w:proofErr w:type="gramEnd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государственным гражданским служащим обязанностей, в ходе выполнения которых может возникнуть  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конфликт интересов</w:t>
            </w:r>
            <w:r w:rsidRPr="003217C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1.2.4. Проведение в порядке, определенном представителем нанимателя (работодателя), проверок сведений о фактах обращения в целях склонения </w:t>
            </w:r>
            <w:proofErr w:type="gram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 служащего</w:t>
            </w:r>
            <w:proofErr w:type="gram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За данный период 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обращений по факту склонения государственных гражданских служащих к совершению коррупционных правонарушений не поступало.</w:t>
            </w:r>
          </w:p>
        </w:tc>
      </w:tr>
      <w:tr w:rsidR="003217CD" w:rsidRPr="003217CD">
        <w:trPr>
          <w:trHeight w:val="1555"/>
        </w:trPr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1.2.5. Систематическое проведение оценки коррупционных рисков, возникающих при реализации </w:t>
            </w:r>
            <w:proofErr w:type="gram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государственными  служащими</w:t>
            </w:r>
            <w:proofErr w:type="gram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функций, и внес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 уточнений в перечни должностей государственной  службы, замещение которых связано с коррупционными рисками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3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Изменения </w:t>
            </w:r>
            <w:proofErr w:type="gramStart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 Перечень</w:t>
            </w:r>
            <w:proofErr w:type="gramEnd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должностей государственной гражданской службы  Республики Татарстан в Министерстве культуры Республики Татарстан, 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замещение которых связано с коррупционными рисками, не вносил</w:t>
            </w: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ений) компьютерных программ, разработанных на базе специального программного обеспечения в целях осуществления:</w:t>
            </w:r>
          </w:p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мониторинга и автоматизированного анализа сведений о доходах, расходах, об имуществе и обязательствах имущественного характера, представляем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х, ценных бумагах;</w:t>
            </w:r>
          </w:p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зание данной организации услуг) на условиях трудового договора, если отдельные функции </w:t>
            </w:r>
            <w:proofErr w:type="gram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государственного,  управления</w:t>
            </w:r>
            <w:proofErr w:type="gram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данной организацией входили в должностные (служебные) обязанности государственного  служащего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3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Ответственным </w:t>
            </w:r>
            <w:proofErr w:type="gramStart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лицом  за</w:t>
            </w:r>
            <w:proofErr w:type="gramEnd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работу по профи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лактике коррупционных и иных правонарушений регулярно проводится проверка по  базе данных ЕГРЮЛ и ЕГРИП  на предмет участия государственных гражданских служащих в предпринимательской деятельности</w:t>
            </w:r>
            <w:r w:rsidRPr="003217CD">
              <w:rPr>
                <w:rFonts w:ascii="Times New Roman" w:eastAsiaTheme="minorEastAsia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.    </w:t>
            </w:r>
            <w:proofErr w:type="gramStart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Функционирует  Единая</w:t>
            </w:r>
            <w:proofErr w:type="gramEnd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информационная система кадрового с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остава государственной гражданской муниципальной службы РТ. В базу данных </w:t>
            </w:r>
            <w:proofErr w:type="gramStart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6"/>
                <w:lang w:eastAsia="ru-RU"/>
              </w:rPr>
              <w:t>вносятся  сведения</w:t>
            </w:r>
            <w:proofErr w:type="gramEnd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о доходах, расходах, об имуществе и обязательствах имущественного характера, предоставляемых государственными гражданскими служащими Республики Татарстан в министе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6"/>
                <w:lang w:eastAsia="ru-RU"/>
              </w:rPr>
              <w:t>рстве, а также сведения о доходах, расходах, об имуществе и обязательствах имущественного характера своих супруга (супруги) и несовершеннолетних детей.</w:t>
            </w: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 Обеспечение открытости деятельности комиссии при Министре культуры Республики </w:t>
            </w:r>
            <w:proofErr w:type="gram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Татарстан  по</w:t>
            </w:r>
            <w:proofErr w:type="gram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3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A05315" w:rsidRPr="003217CD" w:rsidRDefault="003217C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 Комиссии</w:t>
            </w:r>
            <w:proofErr w:type="gramEnd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министре культуры Республики Татарстан по противодействию коррупции (далее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Комиссия)  включены представители Общественного совета (</w:t>
            </w:r>
            <w:proofErr w:type="spellStart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М.М.Таишев</w:t>
            </w:r>
            <w:proofErr w:type="spellEnd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) и профсоюзного комитета Министерства культуры РТ (</w:t>
            </w:r>
            <w:proofErr w:type="spellStart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Д.Д.Натфуллин</w:t>
            </w:r>
            <w:proofErr w:type="spellEnd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), представитель Казанского (Приволжского) федерального университета (</w:t>
            </w:r>
            <w:proofErr w:type="spellStart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Н.В.Волкова</w:t>
            </w:r>
            <w:proofErr w:type="spellEnd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доцент кафедры государственного  и муни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ципального  управления Института управления и территориального развития). В первом квартале заседания Комиссии не проводились.</w:t>
            </w: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1.4. Обеспечение действенного функционирования Комиссии по соблюдению требований к служебному поведению государственных </w:t>
            </w:r>
            <w:proofErr w:type="gram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ких  служащих</w:t>
            </w:r>
            <w:proofErr w:type="gram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 состав Комиссии по соблюдению требований    к служебному поведению государственных   гражданск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служащих Министерства культуры Республики Татарстан и урегулированию конфликта интересов включены представители  Казанского государственного института  культуры (</w:t>
            </w:r>
            <w:proofErr w:type="spell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Е.В.Давлетшина</w:t>
            </w:r>
            <w:proofErr w:type="spell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начальник отдела кадров), Казанского (Приволжского) федерального университе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(</w:t>
            </w:r>
            <w:proofErr w:type="spell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Г.Р.Ахметзянова</w:t>
            </w:r>
            <w:proofErr w:type="spell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заместитель начальника юридического отдела Правового управления),  Общественного Совета при Министерстве культуры Республики Татарстан (</w:t>
            </w:r>
            <w:proofErr w:type="spell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И.И.Сиразиев</w:t>
            </w:r>
            <w:proofErr w:type="spell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старший преподаватель филиала Московского государственного академического художествен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ного института </w:t>
            </w:r>
            <w:proofErr w:type="spell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им.В.И.Сурикова</w:t>
            </w:r>
            <w:proofErr w:type="spell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Российской академии художеств в </w:t>
            </w:r>
            <w:proofErr w:type="spell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г.Казани</w:t>
            </w:r>
            <w:proofErr w:type="spell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  Управления Президента Республики Татарстан по вопросам </w:t>
            </w:r>
            <w:proofErr w:type="spell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антикоррупционой</w:t>
            </w:r>
            <w:proofErr w:type="spell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 (</w:t>
            </w:r>
            <w:proofErr w:type="spell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Р.Р.Гатин</w:t>
            </w:r>
            <w:proofErr w:type="spell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главный советник отдела антикоррупционного мониторинга).</w:t>
            </w:r>
          </w:p>
          <w:p w:rsidR="00A05315" w:rsidRPr="003217CD" w:rsidRDefault="003217C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Состав Комиссии соотве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тствует требованиям статьи 8 Положения о комиссии, утвержденного </w:t>
            </w:r>
            <w:hyperlink r:id="rId7">
              <w:r w:rsidRPr="003217CD">
                <w:rPr>
                  <w:rStyle w:val="-"/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Указом</w:t>
              </w:r>
            </w:hyperlink>
            <w:r w:rsidRPr="003217C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Президента Республики Татарстан от 25 августа 2010 года №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УП-569.</w:t>
            </w: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1.5. Размещение в соответствии с законодательством на сайте </w:t>
            </w:r>
            <w:proofErr w:type="gram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Министерства  св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едений</w:t>
            </w:r>
            <w:proofErr w:type="gram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</w:t>
            </w:r>
            <w:r w:rsidRPr="003217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доходах, об имуществе и обязательствах имущественного характера государственных гражданских служащих  за 2015 год размещены на официальном сайте Министерства в соответствии с Указом Президента РТ от 19.04.2010    № УП-237.    </w:t>
            </w:r>
          </w:p>
          <w:p w:rsidR="00A05315" w:rsidRPr="003217CD" w:rsidRDefault="00A053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 Организация и провед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 ротации государственных гражданских служащих в установленном порядке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В 1 квартале 2016 </w:t>
            </w:r>
            <w:proofErr w:type="gramStart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  ротация</w:t>
            </w:r>
            <w:proofErr w:type="gramEnd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государственных служащих не проводилась.</w:t>
            </w:r>
          </w:p>
        </w:tc>
      </w:tr>
      <w:tr w:rsidR="003217CD" w:rsidRPr="003217CD">
        <w:tc>
          <w:tcPr>
            <w:tcW w:w="14600" w:type="dxa"/>
            <w:gridSpan w:val="2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факторов в нормативных правовых актах и проектах нормативных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2.1.Принятие практических мер по организации эффективного проведения антико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Информация по результатам проведения антикоррупционной 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экспертизы нормативных правовых актов и их проектов </w:t>
            </w:r>
            <w:r w:rsidRPr="003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ежеквартально </w:t>
            </w:r>
            <w:proofErr w:type="gramStart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размещаются  на</w:t>
            </w:r>
            <w:proofErr w:type="gramEnd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офици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альном сайте министерства в подразделе «</w:t>
            </w:r>
            <w:hyperlink r:id="rId8">
              <w:r w:rsidRPr="003217CD">
                <w:rPr>
                  <w:rStyle w:val="-"/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Независимая антикоррупционная экспертиза нормативных правовых актов и проектов нормативных правовых актов</w:t>
              </w:r>
            </w:hyperlink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  <w:r w:rsidRPr="003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Создание необходимых условий для провед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независимой антикоррупционной экспертизы проектов нормативных правовых актов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Антикоррупционная экспертиза нормативных правовых актов проводится на </w:t>
            </w:r>
            <w:proofErr w:type="gram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основании  приказа</w:t>
            </w:r>
            <w:proofErr w:type="gram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министра культуры Республики Татарстан от 1.03.2013 года №111од «О порядке проведения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антикоррупционной экспертизы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нормативных правовых актов и их проектов». </w:t>
            </w:r>
          </w:p>
          <w:p w:rsidR="00A05315" w:rsidRPr="003217CD" w:rsidRDefault="003217CD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Проекты нормативных правовых актов </w:t>
            </w:r>
            <w:proofErr w:type="gramStart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размещаются  на</w:t>
            </w:r>
            <w:proofErr w:type="gramEnd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официальном сайте министерства в подразделе «Независимая антикоррупционная экспертиза» раздела «Противодействие коррупции» с опубликованием данных разработчика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(ФИО ответственного лица, должность, телефон, адрес электронной почты)</w:t>
            </w:r>
          </w:p>
          <w:p w:rsidR="00A05315" w:rsidRPr="003217CD" w:rsidRDefault="003217CD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Антикоррупционная </w:t>
            </w:r>
            <w:proofErr w:type="gramStart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экспертиза  за</w:t>
            </w:r>
            <w:proofErr w:type="gramEnd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данный период проведена в отношении 15 нормативных правовых актов. </w:t>
            </w:r>
          </w:p>
          <w:p w:rsidR="00A05315" w:rsidRPr="003217CD" w:rsidRDefault="00A05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7CD" w:rsidRPr="003217CD">
        <w:tc>
          <w:tcPr>
            <w:tcW w:w="14600" w:type="dxa"/>
            <w:gridSpan w:val="2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Задача 3. Оценка состояния коррупции посредством проведения мониторинговых исс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ледований</w:t>
            </w: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3.1.Проведение мониторинга деятельности министерства по реализации антикоррупционных мер и оценке их эффективности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эффективности деятельности Министерства культуры Республики Татарстан по реализации антикоррупционных мер 1 раз в </w:t>
            </w:r>
            <w:proofErr w:type="gram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полугодие  представляется</w:t>
            </w:r>
            <w:proofErr w:type="gram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Комитет Республики Татарстан по социально-экономическому мониторингу, отчеты о ходе  реализации антикор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рупционных мероприятий ежеквартально в Министерство юстиции Республики Татарстан. </w:t>
            </w:r>
          </w:p>
          <w:p w:rsidR="00A05315" w:rsidRPr="003217CD" w:rsidRDefault="00A053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3.2.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превентивных мер в рамках противодействия коррупции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Отраслевые исследования </w:t>
            </w:r>
            <w:proofErr w:type="spellStart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факторов и реализуемых антикоррупционных мер среди целевых групп не проводил</w:t>
            </w:r>
          </w:p>
          <w:p w:rsidR="00A05315" w:rsidRPr="003217CD" w:rsidRDefault="00A05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7CD" w:rsidRPr="003217CD">
        <w:tc>
          <w:tcPr>
            <w:tcW w:w="14600" w:type="dxa"/>
            <w:gridSpan w:val="2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Активизация антикоррупционного обучения и антикоррупционной пропаганды,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4.1. Осуществление работы по формированию у служащих отрицательного отношения к коррупции с привлечением к данной работе общественных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0631AE" w:rsidRPr="003217CD" w:rsidRDefault="003217CD" w:rsidP="000631AE">
            <w:pPr>
              <w:autoSpaceDE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3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0631AE"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0631AE" w:rsidRPr="003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0631AE"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Ответственным за работу по профилактике коррупционных правонарушений оказывается консультативная помощь по вопросам противодействия коррупции, формированию у государственных гражданских служащих негативного отношения к коррупции.</w:t>
            </w:r>
          </w:p>
          <w:p w:rsidR="000631AE" w:rsidRPr="003217CD" w:rsidRDefault="000631AE" w:rsidP="000631AE">
            <w:pPr>
              <w:autoSpaceDE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 состав Комиссии при министре культуры Республики Татарстан и Комиссии по соблюдению требований к служебному поведению и урегулированию конфликта интересов включены представители Общественного совета и профсоюзной </w:t>
            </w:r>
            <w:proofErr w:type="gram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 Министерства</w:t>
            </w:r>
            <w:proofErr w:type="gram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5315" w:rsidRPr="003217CD" w:rsidRDefault="00A05315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4.2. Осуществление комплекса организационных, разъяснительных и иных мер по соблюдению государственными служащими ограничений, запретов, а также по исполнению обязанностей, установленных в целях противодействия ко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ррупции, в том числе ограничений, касающихся дарения и получения подарков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keepLines/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Ответственным за работу по профилактике коррупционных и иных правонарушений регулярно проводятся разъяснительные мероприятия с государственными гражданскими служащими министерств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по соблюдению ограничений, запретов и по исполнению обязанностей, </w:t>
            </w:r>
            <w:proofErr w:type="gramStart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установленных  в</w:t>
            </w:r>
            <w:proofErr w:type="gramEnd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целях противодействия коррупции, в том числе ограничений, касающихся дарения и получения подарков. </w:t>
            </w:r>
          </w:p>
          <w:p w:rsidR="00A05315" w:rsidRPr="003217CD" w:rsidRDefault="003217C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данный период государственные гражданские служащие </w:t>
            </w:r>
            <w:proofErr w:type="gram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ознакомлены</w:t>
            </w:r>
            <w:r w:rsidR="000631AE"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письмом</w:t>
            </w:r>
            <w:proofErr w:type="gram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труда и социальной защиты РФ о запрете дарить и получать подарки</w:t>
            </w:r>
          </w:p>
          <w:p w:rsidR="00A05315" w:rsidRPr="003217CD" w:rsidRDefault="00A05315" w:rsidP="000631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 С учетом положений международных актов в области противодействия коррупции о криминализации обещания дачи взятки или получения взятки и предложени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</w:t>
            </w:r>
            <w:proofErr w:type="gram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государственными  служащими</w:t>
            </w:r>
            <w:proofErr w:type="gram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поведения, которое может восприниматься окружающими как обещание или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предложение дачи взятки либо как согласие принять взятку или как просьба о даче взятки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Приказом министерства от </w:t>
            </w:r>
            <w:proofErr w:type="gram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13.06.2013  №</w:t>
            </w:r>
            <w:proofErr w:type="gram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469 од  утвержден Порядок уведомления представителя нанимателя (работодателя) о фактах обращения в целях склонения государстве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нного гражданского служащего к совершению коррупционных правонарушений. Приказ доведен до всех сотрудников и размещен на официальном сайте.</w:t>
            </w:r>
          </w:p>
          <w:p w:rsidR="00A05315" w:rsidRPr="003217CD" w:rsidRDefault="003217CD">
            <w:pPr>
              <w:keepLines/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приеме гражданина на государственную гражданскую </w:t>
            </w:r>
            <w:proofErr w:type="gram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службу  отделом</w:t>
            </w:r>
            <w:proofErr w:type="gram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кадров проводится работа по ознакомлению с треб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ованиями действующего законодательства о государственной службе и  по противодействию коррупции о недопустимости поведения, которое может восприниматься окружающими как дача или получение взятки. </w:t>
            </w:r>
          </w:p>
          <w:p w:rsidR="00A05315" w:rsidRPr="003217CD" w:rsidRDefault="00A05315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3217CD" w:rsidRPr="003217CD">
        <w:tc>
          <w:tcPr>
            <w:tcW w:w="14600" w:type="dxa"/>
            <w:gridSpan w:val="2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Обеспечение открытости, доступности для населения деятельности государственных органов, укрепление их связи с гражданским обществом</w:t>
            </w:r>
            <w:r w:rsidRPr="003217CD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антикоррупционной активности общественности</w:t>
            </w: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5.1.Обеспечение соблюдения положений административных регламентов предоставления государственных услуг 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Государственные услуги предоставляются в соответствии с утвержденными административными регламентами </w:t>
            </w:r>
            <w:proofErr w:type="gram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инистерства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отделом</w:t>
            </w:r>
            <w:proofErr w:type="gram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сохранения объектов культурного наследия по  следующим направлениям:</w:t>
            </w:r>
          </w:p>
          <w:p w:rsidR="00A05315" w:rsidRPr="003217CD" w:rsidRDefault="003217CD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- выдача задания на разработку проектной документации на проведение работ по сохранению объекта культурного наследия;</w:t>
            </w:r>
          </w:p>
          <w:p w:rsidR="00A05315" w:rsidRPr="003217CD" w:rsidRDefault="003217CD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- согласование проектной документации </w:t>
            </w:r>
            <w:r w:rsidRPr="003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проведение работ по сохранению объекта культурного наследия;</w:t>
            </w:r>
          </w:p>
          <w:p w:rsidR="00A05315" w:rsidRPr="003217CD" w:rsidRDefault="003217C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- выдача разрешения на проведение работ по сохранению объекта культурного наследия</w:t>
            </w:r>
          </w:p>
          <w:p w:rsidR="00A05315" w:rsidRPr="003217CD" w:rsidRDefault="00A05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5.2.Совершенствование системы предоставления </w:t>
            </w:r>
            <w:proofErr w:type="gram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государственных  услуг</w:t>
            </w:r>
            <w:proofErr w:type="gram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том числе на базе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многофункциональных центров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предоставления государственных  услуг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Министерством культуры Республики Татарстан предоставление государственных услуг на базе многофункциональных центров не 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осуществляется.</w:t>
            </w: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5.3. Организация наполнения раздела "Противодействи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коррупции" официального сайта Министерства в соответствии с законодательством и </w:t>
            </w:r>
            <w:hyperlink r:id="rId9">
              <w:r w:rsidRPr="003217C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требованиями</w:t>
              </w:r>
            </w:hyperlink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установленными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новлением Кабинета Министров Республики Татарстан от 04.04.2013 N 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онной сети Интернет по вопросам противодействия коррупции"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Наполнение раздела «Противодействие коррупции» осуществляется </w:t>
            </w:r>
            <w:proofErr w:type="spellStart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Файзуллиной</w:t>
            </w:r>
            <w:proofErr w:type="spellEnd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Ф.И., о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тветственным лицом  за работу по профилактике коррупционных и иных правонарушений,  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ежеквартально в соответствии с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требованиями, установленными постановлением Кабинета Министров Республики Татарстан от 04.04.2013 №225 «Об утверждении Единых требований к размещению и пополнению разделов официальных сайтов исполнительных органов государственной власти Республики Татарст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ан в информационно-телекоммуникационной сети «Интернет».</w:t>
            </w: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5.4. Обеспечение функционирования в </w:t>
            </w:r>
            <w:proofErr w:type="gram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министерстве  "</w:t>
            </w:r>
            <w:proofErr w:type="gram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телефона доверия", "горячей линии", Интернет-приемной, других информационных каналов, позволяющих гражданам сообщать о ставших известными им фактах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коррупции, причинах и условиях, способствующих их совершению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 разделе «Противодействие коррупции» размещен «телефон доверия», позволяющий гражданам сообщать об известных им фактах коррупции, причинах и условиях, способствующих их </w:t>
            </w:r>
            <w:proofErr w:type="gram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совершению,  а</w:t>
            </w:r>
            <w:proofErr w:type="gramEnd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также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Памятка об организации работы с «телефоном доверия». </w:t>
            </w:r>
          </w:p>
          <w:p w:rsidR="00A05315" w:rsidRPr="003217CD" w:rsidRDefault="003217CD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Организована работа </w:t>
            </w:r>
            <w:r w:rsidRPr="003217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«Прямой линии»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гражданами по вопросам антикоррупционного информирования и просвещения, отнесенным к сфере деятельности министерства.</w:t>
            </w:r>
          </w:p>
          <w:p w:rsidR="00A05315" w:rsidRPr="003217CD" w:rsidRDefault="003217C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За данный период обращений граждан о 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фактах </w:t>
            </w:r>
            <w:proofErr w:type="gramStart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коррупции  в</w:t>
            </w:r>
            <w:proofErr w:type="gramEnd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адрес министерства не поступало.</w:t>
            </w: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Информация о ходе реализации мер по противодействию коррупции ежегодно размещается на официальном сайте министерства в разделе «Противодействие коррупции». </w:t>
            </w:r>
          </w:p>
          <w:p w:rsidR="00A05315" w:rsidRPr="003217CD" w:rsidRDefault="00A05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5.6. Организация работы по проведению мониторинга информации о коррупционных проявлениях в деятел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антикоррупционных комиссий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В адрес министерства информация о коррупцио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нных проявлениях в деятельности должностных лиц не поступала.</w:t>
            </w: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5.7. Доведение до СМИ информации о мерах, принимаемых Министерством по противодействию коррупции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 связи с отсутствием фактов коррупции информация о принимаемых мерах до сведения средств масс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овой информации не доводилась.</w:t>
            </w: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5.8.Оформление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 здании министерства установлен специальный ящик приема сообщений о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фактах коррупции и информационный стенд о ходе реализации мер по противодействию коррупции. Информация на стенде </w:t>
            </w:r>
            <w:proofErr w:type="gramStart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обновляется  по</w:t>
            </w:r>
            <w:proofErr w:type="gramEnd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мере поступления нормативных правовых актов по противодействию коррупции. </w:t>
            </w:r>
          </w:p>
        </w:tc>
      </w:tr>
      <w:tr w:rsidR="003217CD" w:rsidRPr="003217CD">
        <w:tc>
          <w:tcPr>
            <w:tcW w:w="14600" w:type="dxa"/>
            <w:gridSpan w:val="2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 Обеспечение открытости, добросовестной конкурен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и объективности при осуществлении закупок товаров, работ,</w:t>
            </w:r>
          </w:p>
          <w:p w:rsidR="00A05315" w:rsidRPr="003217CD" w:rsidRDefault="003217C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 для обеспечения государственных</w:t>
            </w: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6.1.Реализация мер, способствующих снижению уровня коррупции при осуществлении закупок товаров (работ, услуг) для государственных и муниципальных нужд, в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Государственные закупки </w:t>
            </w:r>
            <w:proofErr w:type="gramStart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осуществляются  путем</w:t>
            </w:r>
            <w:proofErr w:type="gramEnd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проведения аукциона в электр</w:t>
            </w:r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онной форме на электронной площадке </w:t>
            </w:r>
            <w:proofErr w:type="spellStart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etp</w:t>
            </w:r>
            <w:proofErr w:type="spellEnd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zakaz</w:t>
            </w:r>
            <w:proofErr w:type="spellEnd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217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217CD" w:rsidRPr="003217CD">
        <w:tc>
          <w:tcPr>
            <w:tcW w:w="14600" w:type="dxa"/>
            <w:gridSpan w:val="2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7.Усиление мер по минимизации бытовой коррупции</w:t>
            </w:r>
          </w:p>
        </w:tc>
      </w:tr>
      <w:tr w:rsidR="003217CD" w:rsidRPr="003217CD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7.1. 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поступлении граждан на должность </w:t>
            </w:r>
            <w:proofErr w:type="gram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государственной  службы</w:t>
            </w:r>
            <w:proofErr w:type="gramEnd"/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05315" w:rsidRPr="003217CD" w:rsidRDefault="003217CD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3217CD">
              <w:rPr>
                <w:rStyle w:val="FontStyle12"/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  Приказом  от 24.03.2016  № 239 од утвержден </w:t>
            </w:r>
            <w:r w:rsidRPr="003217CD">
              <w:rPr>
                <w:rFonts w:eastAsiaTheme="minorEastAsia"/>
                <w:color w:val="000000" w:themeColor="text1"/>
                <w:lang w:eastAsia="ru-RU" w:bidi="lo-LA"/>
              </w:rPr>
              <w:t xml:space="preserve">Порядок сообщения государственными гражданскими служащими Республики Татарстан в Министерстве культуры Республики Татарстан  о возникновении личной заинтересованности при исполнении должностных обязанностей, которая приводит или может привести к конфликту </w:t>
            </w:r>
            <w:r w:rsidRPr="003217CD">
              <w:rPr>
                <w:rFonts w:eastAsiaTheme="minorEastAsia"/>
                <w:color w:val="000000" w:themeColor="text1"/>
                <w:lang w:eastAsia="ru-RU" w:bidi="lo-LA"/>
              </w:rPr>
              <w:t xml:space="preserve">интересов, приказом от 24.03.2016 № 240 од Положение </w:t>
            </w:r>
            <w:r w:rsidRPr="003217CD">
              <w:rPr>
                <w:rFonts w:eastAsiaTheme="minorEastAsia"/>
                <w:color w:val="000000" w:themeColor="text1"/>
                <w:lang w:eastAsia="ru-RU"/>
              </w:rPr>
              <w:t xml:space="preserve">о Комиссии Министерства культуры Республики Татарстан по соблюдению требований к служебному поведению государственных гражданских служащих и урегулированию конфликта интересов. </w:t>
            </w:r>
          </w:p>
          <w:p w:rsidR="00A05315" w:rsidRPr="003217CD" w:rsidRDefault="00A05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5315" w:rsidRPr="003217CD" w:rsidRDefault="00A05315">
      <w:pPr>
        <w:rPr>
          <w:color w:val="000000" w:themeColor="text1"/>
        </w:rPr>
        <w:sectPr w:rsidR="00A05315" w:rsidRPr="003217CD" w:rsidSect="000631AE">
          <w:pgSz w:w="16838" w:h="11906" w:orient="landscape"/>
          <w:pgMar w:top="1134" w:right="567" w:bottom="567" w:left="1134" w:header="0" w:footer="0" w:gutter="0"/>
          <w:cols w:space="720"/>
          <w:formProt w:val="0"/>
          <w:docGrid w:linePitch="360" w:charSpace="-2049"/>
        </w:sectPr>
      </w:pPr>
      <w:bookmarkStart w:id="2" w:name="_GoBack"/>
      <w:bookmarkEnd w:id="2"/>
    </w:p>
    <w:p w:rsidR="00A05315" w:rsidRDefault="00A0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315" w:rsidRDefault="00A05315">
      <w:pPr>
        <w:shd w:val="clear" w:color="auto" w:fill="FFFFFF"/>
        <w:spacing w:line="317" w:lineRule="exact"/>
        <w:ind w:firstLine="720"/>
      </w:pPr>
    </w:p>
    <w:sectPr w:rsidR="00A05315" w:rsidSect="000631AE">
      <w:pgSz w:w="16838" w:h="11906" w:orient="landscape"/>
      <w:pgMar w:top="1134" w:right="567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15"/>
    <w:rsid w:val="000631AE"/>
    <w:rsid w:val="003217CD"/>
    <w:rsid w:val="00A0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968FF-3A68-4641-88C8-90E6BEEE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9D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34522C"/>
    <w:rPr>
      <w:color w:val="0000FF" w:themeColor="hyperlink"/>
      <w:u w:val="single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8"/>
      <w:szCs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E20705"/>
    <w:pPr>
      <w:widowControl w:val="0"/>
    </w:pPr>
    <w:rPr>
      <w:rFonts w:ascii="Arial" w:eastAsiaTheme="minorEastAsia" w:hAnsi="Arial" w:cs="Arial"/>
      <w:color w:val="00000A"/>
      <w:szCs w:val="20"/>
      <w:lang w:eastAsia="ru-RU"/>
    </w:rPr>
  </w:style>
  <w:style w:type="paragraph" w:customStyle="1" w:styleId="s4-wptoptable1">
    <w:name w:val="s4-wptoptable1"/>
    <w:basedOn w:val="a"/>
    <w:qFormat/>
    <w:rsid w:val="00E834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paragraph" w:customStyle="1" w:styleId="Style3">
    <w:name w:val="Style3"/>
    <w:basedOn w:val="a"/>
    <w:qFormat/>
    <w:pPr>
      <w:widowControl w:val="0"/>
      <w:spacing w:after="0" w:line="36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2"/>
    <w:uiPriority w:val="59"/>
    <w:rsid w:val="00E20705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alcogol.tatar.ru/rus/info/ae.htm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059692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FC764877443087FCB8004C47C5F0C94FD1C13C2F845355EDCB6F2A33E09762k9gF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9FC764877443087FCB81E4151A9ADC646DC9B3628835005B094347764kEg9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C764877443087FCB8004C47C5F0C94FD1C13C2E8E5354EECB6F2A33E097629FE02CD2426A5C8A2E5298k0g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41921-FC90-410E-B1B3-FC80BFC4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MKRT</Company>
  <LinksUpToDate>false</LinksUpToDate>
  <CharactersWithSpaces>21985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ffaizullina</dc:creator>
  <dc:description/>
  <cp:lastModifiedBy>Файзуллина Фания Ильдусовна</cp:lastModifiedBy>
  <cp:revision>14</cp:revision>
  <cp:lastPrinted>2014-11-20T11:49:00Z</cp:lastPrinted>
  <dcterms:created xsi:type="dcterms:W3CDTF">2017-03-03T05:28:00Z</dcterms:created>
  <dcterms:modified xsi:type="dcterms:W3CDTF">2017-03-04T08:11:00Z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MKRT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