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tLeast" w:line="288" w:beforeAutospacing="0" w:before="0" w:afterAutospacing="0" w:after="0"/>
        <w:ind w:hanging="0"/>
        <w:jc w:val="right"/>
        <w:rPr/>
      </w:pPr>
      <w:r>
        <w:rPr/>
        <w:t>Проект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/>
      </w:pPr>
      <w:r>
        <w:rPr/>
      </w:r>
    </w:p>
    <w:tbl>
      <w:tblPr>
        <w:tblStyle w:val="a4"/>
        <w:tblW w:w="101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5"/>
        <w:gridCol w:w="3111"/>
        <w:gridCol w:w="3399"/>
      </w:tblGrid>
      <w:tr>
        <w:trPr/>
        <w:tc>
          <w:tcPr>
            <w:tcW w:w="3685" w:type="dxa"/>
            <w:tcBorders/>
          </w:tcPr>
          <w:p>
            <w:pPr>
              <w:pStyle w:val="NormalWeb"/>
              <w:widowControl w:val="false"/>
              <w:spacing w:lineRule="atLeast" w:line="288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kern w:val="0"/>
                <w:sz w:val="28"/>
                <w:szCs w:val="28"/>
                <w:lang w:val="ru-RU" w:bidi="ar-SA"/>
              </w:rPr>
              <w:t>Об утверждении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критериев определения приоритетных креативных (творческих) индустрий в Республике Татарстан</w:t>
            </w:r>
          </w:p>
          <w:p>
            <w:pPr>
              <w:pStyle w:val="NormalWeb"/>
              <w:widowControl w:val="false"/>
              <w:spacing w:lineRule="atLeast" w:line="288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1" w:type="dxa"/>
            <w:tcBorders/>
          </w:tcPr>
          <w:p>
            <w:pPr>
              <w:pStyle w:val="NormalWeb"/>
              <w:widowControl w:val="false"/>
              <w:spacing w:lineRule="atLeast" w:line="288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99" w:type="dxa"/>
            <w:tcBorders/>
          </w:tcPr>
          <w:p>
            <w:pPr>
              <w:pStyle w:val="NormalWeb"/>
              <w:widowControl w:val="false"/>
              <w:spacing w:lineRule="atLeast" w:line="288" w:beforeAutospacing="0" w:before="0" w:afterAutospacing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7 статьи 5 Федерального закона от 8 августа 2024 года № 330-ФЗ «О развитии креативных (творческих) индустрий в Российской Федерации» и пунктом 5 части 2 статьи 4 Закона Республики Татарстан от 26 апреля 2025 года № 32-ЗРТ «О развитии креативных (творческих) индустрий в Республике Татарстан» </w:t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Утвердить прилагаемые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  <w:t>критерии определения приоритетных креативных (творческих) индустрий в Республике Татарстан.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Министерство культуры Республики Татарстан.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Премьер-министр</w:t>
      </w:r>
    </w:p>
    <w:p>
      <w:pPr>
        <w:pStyle w:val="NormalWeb"/>
        <w:spacing w:beforeAutospacing="0" w:before="0" w:afterAutospacing="0" w:after="0"/>
        <w:jc w:val="both"/>
        <w:rPr>
          <w:b w:val="false"/>
          <w:bCs w:val="false"/>
        </w:rPr>
      </w:pPr>
      <w:r>
        <w:rPr>
          <w:b w:val="false"/>
          <w:bCs w:val="false"/>
          <w:color w:val="000000" w:themeColor="text1"/>
          <w:sz w:val="28"/>
          <w:szCs w:val="28"/>
        </w:rPr>
        <w:t>Республики Татарстан                                                                     А.В.Песошин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</w:p>
    <w:p>
      <w:pPr>
        <w:pStyle w:val="Normal"/>
        <w:tabs>
          <w:tab w:val="clear" w:pos="708"/>
          <w:tab w:val="left" w:pos="1035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  <w14:ligatures w14:val="none"/>
        </w:rPr>
        <w:tab/>
        <w:tab/>
        <w:tab/>
        <w:tab/>
        <w:tab/>
        <w:tab/>
        <w:tab/>
        <w:tab/>
        <w:tab/>
        <w:t xml:space="preserve">Утвержден </w:t>
      </w:r>
    </w:p>
    <w:p>
      <w:pPr>
        <w:pStyle w:val="Normal"/>
        <w:tabs>
          <w:tab w:val="clear" w:pos="708"/>
          <w:tab w:val="left" w:pos="1035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  <w14:ligatures w14:val="none"/>
        </w:rPr>
        <w:tab/>
        <w:tab/>
        <w:tab/>
        <w:tab/>
        <w:tab/>
        <w:tab/>
        <w:tab/>
        <w:tab/>
        <w:tab/>
        <w:t xml:space="preserve">Постановлением   </w:t>
        <w:tab/>
        <w:tab/>
        <w:tab/>
        <w:tab/>
        <w:tab/>
        <w:tab/>
        <w:tab/>
        <w:tab/>
        <w:tab/>
        <w:tab/>
        <w:tab/>
        <w:tab/>
        <w:t xml:space="preserve">Кабинета Министров </w:t>
        <w:tab/>
        <w:tab/>
        <w:tab/>
        <w:tab/>
        <w:tab/>
        <w:tab/>
        <w:tab/>
        <w:tab/>
        <w:tab/>
        <w:tab/>
        <w:tab/>
        <w:t xml:space="preserve">Республики Татарстан </w:t>
      </w:r>
    </w:p>
    <w:p>
      <w:pPr>
        <w:pStyle w:val="Normal"/>
        <w:tabs>
          <w:tab w:val="clear" w:pos="708"/>
          <w:tab w:val="left" w:pos="1035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  <w14:ligatures w14:val="none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  <w14:ligatures w14:val="none"/>
        </w:rPr>
        <w:tab/>
        <w:tab/>
        <w:tab/>
        <w:tab/>
        <w:tab/>
        <w:tab/>
        <w:tab/>
        <w:tab/>
        <w:tab/>
        <w:t>от __________№_________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  <w14:ligatures w14:val="none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  <w14:ligatures w14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  <w:t>Критерии определения приоритетных креативных (творческих) индустрий в Республике Татарстан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</w:r>
    </w:p>
    <w:p>
      <w:pPr>
        <w:pStyle w:val="NormalWeb"/>
        <w:spacing w:beforeAutospacing="0" w:before="0" w:afterAutospacing="0" w:after="0"/>
        <w:ind w:firstLine="539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  <w:t>1. Общие положения</w:t>
      </w:r>
    </w:p>
    <w:p>
      <w:pPr>
        <w:pStyle w:val="NormalWeb"/>
        <w:spacing w:beforeAutospacing="0" w:before="0" w:afterAutospacing="0" w:after="0"/>
        <w:ind w:firstLine="539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Настоящие критерии разработаны в целях системного отбора и поддержки приоритетных креативных (творческих) индустрий (далее – креативных индустрий) на территории Республики Татарстан (далее – Критерии). Критерии направлены на выявление направлений, обладающих наибольшим потенциалом для экономического роста, развития человеческого капитала, сохранения культурного наследия и повышения конкурентоспособности Республики Татарстан.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критериев обеспечивает: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объективность и прозрачность выбора приоритетных креативных индустрий;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учет региональной специфики и стратегических целей развития Республики Татарстан;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эффективное распределение ресурсов и мер государственной поддержки.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9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2. Критерии отбора приоритетных креативных индустрий</w:t>
      </w:r>
    </w:p>
    <w:p>
      <w:pPr>
        <w:pStyle w:val="NormalWeb"/>
        <w:spacing w:beforeAutospacing="0" w:before="0" w:afterAutospacing="0" w:after="0"/>
        <w:ind w:firstLine="5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Креативная индустрия признается приоритетной в Республики Татарстан по итогам анализа на соответствие следующим критериям отбора, проведенном в порядке, установленном разделом 3 настоящих Критериев: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 Соответствие экономической специализации Республики Татарстан 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развитие индустрии предусмотрено утвержденными документами стратегического развития Республики Татарстан (да – 1 б, нет – 0 б).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</w:t>
        <w:tab/>
        <w:t>Экономический потенциал: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вклад в валовой региональный продукт (ВРП) или наличие потенциала его увеличения в среднесрочной перспективе (3 года) (1-5 места – 1 б, 6-10 места – 0,5 б, 11-16 места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занятых в индустрии (1-5 места – 1 б, 6-10 места – 0,5 б, 11-16 места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объем инвестиций, привлеченных предприятиями индустрии (1-5 места – 1 б, 6-10 места – 0,5 б, 11-16 места – 0 б).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2.3.</w:t>
        <w:tab/>
        <w:t>Культурное значение: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наличие исторических предпосылок для развития индустрии в Республики Татарстан (высокий уровень показателя – 1б, средний – 0,5 б, низкий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индустрия способствует сохранению и популяризации локальной идентичности Республики Татарстан — совокупности культурных, исторических и социальных особенностей, которые связывают субъектов индустрии с конкретным местом – Республики Татарстан или территорией (высокий уровень показателя – 1б, средний – 0,5 б, низкий – 0 б);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индустрия способствует созданию уникальных творческих продуктов, формирующих узнаваемый образ Республики Татарстан, территории (высокий уровень показателя – 1б, средний – 0,5 б, низкий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индустрия способствует развитию креативных сообществ, кластеров и коллабораций между представителями творческих профессий (высокий уровень показателя – 1б, средний – 0,5 б, низкий – 0 б).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2.4.</w:t>
        <w:tab/>
        <w:t>Экспортный потенциал: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субъектов индустрии, осуществляющих экспортные поставки (высокий уровень показателя – 1б, средний – 0,5 б, низкий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наличие перспектив выхода продуктов и услуг индустрии на международные рынки, подтвержденных исследованиями или заявками от иностранных партнеров (высокий уровень показателя – 1б, средний – 0,5 б, низкий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участие представителей индустрии в международных отраслевых мероприятиях (высокий уровень показателя – 1б, средний – 0,5 б, низкий – 0 б).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2.5.</w:t>
        <w:tab/>
        <w:t xml:space="preserve">Меры поддержки (наличие сравнительных преимуществ Республики Татарстан, релевантных для креативной индустрии):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специализированных площадок для креативной индустрии (коворкинги, кластеры, арт-пространства, мастерские, студии и т.д.) (1-5 места – 1 б, 6-10 места – 0,5 б, 11-16 места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мер государственной и негосударственной поддержки (финансовые, имущественные, информационные, образовательные, консультационные и иные меры поддержки) (1-5 места – 1 б, 6-10 места – 0,5 б, 11-16 места – 0 б).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2.6.</w:t>
        <w:tab/>
        <w:t>Социальный эффект: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уровень вовлеченности молодежи и представителей социально уязвимых групп (высокий уровень показателя – 1б, средний – 0,5 б, низкий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вклад в улучшение качества городской среды (например, через общественные мероприятия или урбанистические проекты) (высокий уровень показателя – 1б, средний – 0,5 б, низкий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вклад креативной индустрии в создание уникального и привлекательного имиджа региона (высокий уровень показателя – 1б, средний – 0,5 б, низкий – 0 б).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2.7.</w:t>
        <w:tab/>
        <w:t>Кадровый потенциал: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программ высшего, среднего-профессионального и дополнительного образования, направленных на подготовку кадров для индустрии (1-5 места – 1 б, 6-10 места – 0,5 б, 11-16 места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выпускников профильных учебных заведений по выбранному креативному профилю индустрии (1-5 места – 1 б, 6-10 места – 0,5 б, 11-16 места – 0 б);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количество целевых программ набора (заказа) выпускников по профилю индустрии для работы в секторе креативной экономики субъекта Российской Федерации (1-5 места – 1 б, 6-10 места – 0,5 б, 11-16 места – 0 б).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9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3. Порядок применения критериев</w:t>
      </w:r>
    </w:p>
    <w:p>
      <w:pPr>
        <w:pStyle w:val="NormalWeb"/>
        <w:spacing w:beforeAutospacing="0" w:before="0" w:afterAutospacing="0" w:after="0"/>
        <w:ind w:firstLine="5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3.1. Анализ креативных индустрий на предмет соответствия критериям отбора приоритетных креативных индустрий, приведенным в разделе 2 настоящих Критериев, проводится уполномоченным исполнительным органом Республики Татарстан в сфере развития и поддержки креативных (творческих) индустрий (далее - уполномоченный орган).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Оценка значений конкретного показателя производится в зависимости от экспертной оценки его величины в баллах: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при низком уровне значения показателя, когда количественный показатель занимает позицию с 11-го по 16-е место в рейтинге, показатель с вариантом ответа принимает значение «нет», либо качественная оценка по иной соответствующей метрике оказывается низкой, критерий оценки в баллах по данному показателю приравнивается к 0;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при среднем уровне значения показателя, когда количественный показатель занимает позицию с 6-го по 10-е место в рейтинге, либо качественная оценка по иной соответствующей метрике оказывается средней, критерий оценки по данному показателю приравнивается к 0,5;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при высоком уровне значения показателя, когда количественный показатель занимает позицию с 1-го по 5-е место в рейтинге, показатель с вариантом ответа принимает значение «да», либо качественная оценка по иной соответствующей метрике оказывается высокой, критерий оценки по данному показателю приравнивается к 1.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Полученные оценки умножаются на соответствующие фиксированные весовые коэффициенты для каждого критерия:</w:t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Критерий</w:t>
            </w:r>
          </w:p>
        </w:tc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Весовой коэффициент, %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Соответствие экономической специализации региона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ar-SA"/>
              </w:rPr>
              <w:t>5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Экономический потенциал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25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Культурное и творческое значение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15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Экспортный потенциал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20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Меры поддержки (наличие сравнительных преимуществ региона, релевантных для креативной индустрии)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20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Социальный эффект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10</w:t>
            </w:r>
          </w:p>
        </w:tc>
      </w:tr>
      <w:tr>
        <w:trPr/>
        <w:tc>
          <w:tcPr>
            <w:tcW w:w="4672" w:type="dxa"/>
            <w:tcBorders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Кадровый потенциал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Web"/>
              <w:widowControl w:val="false"/>
              <w:suppressAutoHyphens w:val="true"/>
              <w:spacing w:lineRule="atLeast" w:line="288" w:before="0" w:after="0"/>
              <w:ind w:left="0" w:right="0"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>5</w:t>
            </w:r>
          </w:p>
        </w:tc>
      </w:tr>
    </w:tbl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3.4. Полученные результаты по каждому показателю суммируются для формирования обобщенного оценочного значения для каждой индустрии.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3.5. Приоритетными признаются те индустрии, которые имеют совокупную оценку на уровне 1,5 или более баллов.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3.6. По итогам проведения анализа соответствия критериям отбора приоритетных креативных индустрий уполномоченным органом составляется карта показателей для каждой индустрии с целью дальнейшей их оценки и последующего отбора приоритетных креативных индустрий. Уполномоченный орган по итогам рассмотрения карты показателей для каждой индустрии формирует проект перечня приоритетных креативных индустрий Республики Татарстан.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3.7. Результаты проведения анализа креативных индустрий на предмет соответствия критериям отбора приоритетных креативных индустрий в виде карты показателей для каждой индустрии и проекта перечня приоритетных креативных индустрий субъекта Российской Федерации вносятся уполномоченным органом на с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  <w:t>огласование Экспертного совета по вопросам развития креативных (творческих) индустрий в Республике Татарстан.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  <w14:ligatures w14:val="none"/>
        </w:rPr>
        <w:t xml:space="preserve">Экспертный совет по вопросам развития креативных (творческих) индустрий в Республике Татарстан </w:t>
      </w:r>
      <w:r>
        <w:rPr>
          <w:sz w:val="28"/>
          <w:szCs w:val="28"/>
        </w:rPr>
        <w:t xml:space="preserve">по итогам рассмотрения карты показателей для каждой индустрии и проекта перечня приоритетных креативных индустрий субъекта Российской Федерации согласовывает своим решением проект перечня приоритетных креативных индустрий Республики Татарстан и вносит указанный перечень на утверждение Министерства культуры Республики Татарстан.  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3.9. Перечень приоритетных креативных индустрий Республики Татарстан подлежит актуализации не реже одного раза в 3 (три) года.</w:t>
      </w:r>
    </w:p>
    <w:p>
      <w:pPr>
        <w:pStyle w:val="NormalWeb"/>
        <w:spacing w:beforeAutospacing="0" w:before="0" w:afterAutospacing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59" w:right="602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10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7d4ec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7d4ec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7d4ec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7d4ec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7d4ec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7d4ec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7d4ec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7d4ec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7d4ec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7d4ec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7d4ec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7d4ec1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7d4ec1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7d4ec1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7d4ec1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7d4ec1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7d4ec1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7d4ec1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7d4ec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7d4ec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7d4ec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4ec1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d4e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c1"/>
    <w:rPr>
      <w:b/>
      <w:bCs/>
      <w:smallCaps/>
      <w:color w:val="2F5496" w:themeColor="accent1" w:themeShade="bf"/>
      <w:spacing w:val="5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f11d9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semiHidden/>
    <w:qFormat/>
    <w:rsid w:val="00df11d9"/>
    <w:rPr>
      <w:sz w:val="20"/>
      <w:szCs w:val="20"/>
    </w:rPr>
  </w:style>
  <w:style w:type="character" w:styleId="Style9" w:customStyle="1">
    <w:name w:val="Тема примечания Знак"/>
    <w:basedOn w:val="Style8"/>
    <w:link w:val="Annotationsubject"/>
    <w:uiPriority w:val="99"/>
    <w:semiHidden/>
    <w:qFormat/>
    <w:rsid w:val="00df11d9"/>
    <w:rPr>
      <w:b/>
      <w:bCs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rsid w:val="00447cb9"/>
    <w:rPr>
      <w:color w:val="0563C1" w:themeColor="hyperlink"/>
      <w:u w:val="single"/>
    </w:rPr>
  </w:style>
  <w:style w:type="character" w:styleId="Style10" w:customStyle="1">
    <w:name w:val="Текст сноски Знак"/>
    <w:basedOn w:val="DefaultParagraphFont"/>
    <w:uiPriority w:val="99"/>
    <w:semiHidden/>
    <w:qFormat/>
    <w:rsid w:val="00447cb9"/>
    <w:rPr>
      <w:rFonts w:ascii="Calibri" w:hAnsi="Calibri" w:eastAsia="Calibri" w:cs="Calibri"/>
      <w:kern w:val="0"/>
      <w:sz w:val="20"/>
      <w:szCs w:val="20"/>
      <w:lang w:eastAsia="ru-RU"/>
      <w14:ligatures w14:val="none"/>
    </w:rPr>
  </w:style>
  <w:style w:type="character" w:styleId="Style11">
    <w:name w:val="Символ сноски"/>
    <w:uiPriority w:val="99"/>
    <w:semiHidden/>
    <w:unhideWhenUsed/>
    <w:qFormat/>
    <w:rsid w:val="00447cb9"/>
    <w:rPr>
      <w:vertAlign w:val="superscript"/>
    </w:rPr>
  </w:style>
  <w:style w:type="character" w:styleId="Style12">
    <w:name w:val="Footnote Reference"/>
    <w:rPr>
      <w:vertAlign w:val="superscript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18">
    <w:name w:val="Title"/>
    <w:basedOn w:val="Normal"/>
    <w:next w:val="Normal"/>
    <w:link w:val="Style5"/>
    <w:uiPriority w:val="10"/>
    <w:qFormat/>
    <w:rsid w:val="007d4ec1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9">
    <w:name w:val="Subtitle"/>
    <w:basedOn w:val="Normal"/>
    <w:next w:val="Normal"/>
    <w:link w:val="Style6"/>
    <w:uiPriority w:val="11"/>
    <w:qFormat/>
    <w:rsid w:val="007d4ec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7d4ec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c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d4ec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Revision">
    <w:name w:val="Revision"/>
    <w:uiPriority w:val="99"/>
    <w:semiHidden/>
    <w:qFormat/>
    <w:rsid w:val="00a050a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link w:val="Style8"/>
    <w:uiPriority w:val="99"/>
    <w:semiHidden/>
    <w:unhideWhenUsed/>
    <w:qFormat/>
    <w:rsid w:val="00df11d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9"/>
    <w:uiPriority w:val="99"/>
    <w:semiHidden/>
    <w:unhideWhenUsed/>
    <w:qFormat/>
    <w:rsid w:val="00df11d9"/>
    <w:pPr/>
    <w:rPr>
      <w:b/>
      <w:bCs/>
    </w:rPr>
  </w:style>
  <w:style w:type="paragraph" w:styleId="Style20">
    <w:name w:val="Footnote Text"/>
    <w:basedOn w:val="Normal"/>
    <w:link w:val="Style10"/>
    <w:uiPriority w:val="99"/>
    <w:semiHidden/>
    <w:unhideWhenUsed/>
    <w:rsid w:val="00447cb9"/>
    <w:pPr>
      <w:spacing w:lineRule="auto" w:line="240" w:before="0" w:after="0"/>
    </w:pPr>
    <w:rPr>
      <w:rFonts w:ascii="Calibri" w:hAnsi="Calibri" w:eastAsia="Calibri" w:cs="Calibri"/>
      <w:kern w:val="0"/>
      <w:sz w:val="20"/>
      <w:szCs w:val="20"/>
      <w:lang w:eastAsia="ru-RU"/>
      <w14:ligatures w14:val="none"/>
    </w:rPr>
  </w:style>
  <w:style w:type="paragraph" w:styleId="ConsPlusNormal" w:customStyle="1">
    <w:name w:val="ConsPlusNormal"/>
    <w:qFormat/>
    <w:rsid w:val="00b8232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b8232c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7a79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8F89-B930-4389-A664-53317F3D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LibreOffice/7.5.6.2$Linux_X86_64 LibreOffice_project/50$Build-2</Application>
  <AppVersion>15.0000</AppVersion>
  <Pages>5</Pages>
  <Words>1109</Words>
  <Characters>7773</Characters>
  <CharactersWithSpaces>8995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2025-07-17T08:04:00Z</dcterms:created>
  <dc:creator>Afanasiy Zakharov</dc:creator>
  <dc:description/>
  <dc:language>ru-RU</dc:language>
  <cp:lastModifiedBy/>
  <cp:lastPrinted>2025-07-23T14:39:05Z</cp:lastPrinted>
  <dcterms:modified xsi:type="dcterms:W3CDTF">2025-07-29T14:37:30Z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