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A6" w:rsidRDefault="00D95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2370A6" w:rsidRDefault="00D95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2370A6" w:rsidRDefault="002370A6">
      <w:pPr>
        <w:spacing w:after="0" w:line="240" w:lineRule="auto"/>
        <w:jc w:val="center"/>
      </w:pPr>
    </w:p>
    <w:p w:rsidR="002370A6" w:rsidRDefault="00237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3572"/>
        <w:gridCol w:w="2552"/>
        <w:gridCol w:w="9177"/>
      </w:tblGrid>
      <w:tr w:rsidR="002370A6" w:rsidTr="006F5325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9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2370A6" w:rsidTr="006F5325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0A6" w:rsidRDefault="002370A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3" w:type="dxa"/>
        <w:tblLayout w:type="fixed"/>
        <w:tblLook w:val="04A0" w:firstRow="1" w:lastRow="0" w:firstColumn="1" w:lastColumn="0" w:noHBand="0" w:noVBand="1"/>
      </w:tblPr>
      <w:tblGrid>
        <w:gridCol w:w="647"/>
        <w:gridCol w:w="3572"/>
        <w:gridCol w:w="2552"/>
        <w:gridCol w:w="9172"/>
      </w:tblGrid>
      <w:tr w:rsidR="002370A6" w:rsidTr="006F5325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CC37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70A6" w:rsidTr="00D95F6E">
        <w:trPr>
          <w:trHeight w:val="343"/>
        </w:trPr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0A6" w:rsidRDefault="00D95F6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2370A6" w:rsidRDefault="002370A6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A6" w:rsidTr="006F5325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F6E" w:rsidRPr="00D95F6E" w:rsidRDefault="00D95F6E" w:rsidP="00D95F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F6E">
              <w:rPr>
                <w:rFonts w:ascii="Times New Roman" w:hAnsi="Times New Roman"/>
                <w:sz w:val="24"/>
                <w:szCs w:val="24"/>
              </w:rPr>
              <w:t xml:space="preserve">На сайте Министерства в разделе «Противодействие коррупции» в подразделе «Опрос общественного мнения по противодействию коррупции» проводится анкетирование и опрос общественного мнения о борьбе с коррупцией. Данное исследование проводится ежегодно и направлено на улучшение эффективности деятельности Министерства в области противодействия коррупции, а также выявление доли граждан, сталкивавшихся с проявлением коррупции и выявление уровня доверия общества к деятельности органа государственной власти.  </w:t>
            </w:r>
          </w:p>
          <w:p w:rsidR="002370A6" w:rsidRPr="00A665D8" w:rsidRDefault="00D95F6E" w:rsidP="00A665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65D8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D95F6E"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2370A6" w:rsidTr="006F532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67" w:rsidRPr="00761C67" w:rsidRDefault="00761C67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67">
              <w:rPr>
                <w:rFonts w:ascii="Times New Roman" w:hAnsi="Times New Roman"/>
                <w:sz w:val="24"/>
                <w:szCs w:val="24"/>
              </w:rPr>
              <w:t>Доля законодательных и иных нормативных правовых актов, подвергнутых антикоррупционной экспертизе на стадии разработки их проектов – 100%.</w:t>
            </w:r>
          </w:p>
          <w:p w:rsidR="00761C67" w:rsidRPr="00761C67" w:rsidRDefault="00761C67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67">
              <w:rPr>
                <w:rFonts w:ascii="Times New Roman" w:hAnsi="Times New Roman"/>
                <w:sz w:val="24"/>
                <w:szCs w:val="24"/>
              </w:rPr>
              <w:t>В отчетный период разработаны и размещены на сайте Министерства и официальном портале Республики Татарстан (https://tatarstan.ru/regulation) в целях проведения независимой антикоррупционной экспертизы:</w:t>
            </w:r>
          </w:p>
          <w:p w:rsidR="00761C67" w:rsidRPr="00761C67" w:rsidRDefault="003447D3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82C23">
              <w:rPr>
                <w:rFonts w:ascii="Times New Roman" w:hAnsi="Times New Roman"/>
                <w:sz w:val="24"/>
                <w:szCs w:val="24"/>
              </w:rPr>
              <w:t>роекты постановлений Кабинета М</w:t>
            </w:r>
            <w:r>
              <w:rPr>
                <w:rFonts w:ascii="Times New Roman" w:hAnsi="Times New Roman"/>
                <w:sz w:val="24"/>
                <w:szCs w:val="24"/>
              </w:rPr>
              <w:t>инистров Республики Та</w:t>
            </w:r>
            <w:r w:rsidR="00482C23">
              <w:rPr>
                <w:rFonts w:ascii="Times New Roman" w:hAnsi="Times New Roman"/>
                <w:sz w:val="24"/>
                <w:szCs w:val="24"/>
              </w:rPr>
              <w:t>тарстан:</w:t>
            </w:r>
          </w:p>
          <w:p w:rsidR="00761C67" w:rsidRPr="00761C67" w:rsidRDefault="00C47AB9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="00761C67" w:rsidRPr="00761C67">
              <w:rPr>
                <w:rFonts w:ascii="Times New Roman" w:hAnsi="Times New Roman"/>
                <w:sz w:val="24"/>
                <w:szCs w:val="24"/>
                <w:lang w:val="tt-RU"/>
              </w:rPr>
              <w:t>проект постановления Кабинета Министров Республики Татарстан «О внесении изменений в Постановление Кабинета Министров Республики Та</w:t>
            </w:r>
            <w:r w:rsidR="0036229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тарстан от 13 августа 2014 г. </w:t>
            </w:r>
            <w:r w:rsidR="00761C67" w:rsidRPr="00761C67">
              <w:rPr>
                <w:rFonts w:ascii="Times New Roman" w:hAnsi="Times New Roman"/>
                <w:sz w:val="24"/>
                <w:szCs w:val="24"/>
                <w:lang w:val="tt-RU"/>
              </w:rPr>
              <w:t>№ 587 «Об общих принципах планирования, организации и проведения мероприятий и приемов, в том числе посвященных юбилейным датам Республики Татарстан»;</w:t>
            </w:r>
          </w:p>
          <w:p w:rsidR="00761C67" w:rsidRPr="00761C67" w:rsidRDefault="00FA1763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="00761C67" w:rsidRPr="00761C67">
              <w:rPr>
                <w:rFonts w:ascii="Times New Roman" w:hAnsi="Times New Roman"/>
                <w:sz w:val="24"/>
                <w:szCs w:val="24"/>
                <w:lang w:val="tt-RU"/>
              </w:rPr>
              <w:t>проект постановления Кабинета Министров Республики Татарстан «О внесении изменения в Постановление Кабинета Министров Республики Татарстан от 20.10.2022 № 1122 «О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операции»;</w:t>
            </w:r>
          </w:p>
          <w:p w:rsidR="00761C67" w:rsidRDefault="00422FD0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        П</w:t>
            </w:r>
            <w:r w:rsidR="00761C67" w:rsidRPr="00761C67">
              <w:rPr>
                <w:rFonts w:ascii="Times New Roman" w:hAnsi="Times New Roman"/>
                <w:sz w:val="24"/>
                <w:szCs w:val="24"/>
                <w:lang w:val="tt-RU"/>
              </w:rPr>
              <w:t>роекты приказов Министерства культуры Республики Татарстан:</w:t>
            </w:r>
          </w:p>
          <w:p w:rsidR="00422FD0" w:rsidRDefault="00422FD0" w:rsidP="00422F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="00FC16DA" w:rsidRPr="00FC16DA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Pr="00422FD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 признании утратившим силу отдельного положения приказа Министерства культуры Республики Татарстан от 22.02.2018 №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133 од </w:t>
            </w:r>
            <w:r w:rsidRPr="00422FD0">
              <w:rPr>
                <w:rFonts w:ascii="Times New Roman" w:hAnsi="Times New Roman"/>
                <w:sz w:val="24"/>
                <w:szCs w:val="24"/>
                <w:lang w:val="tt-RU"/>
              </w:rPr>
              <w:t>«О включении выявленного объекта культурного наследия «Здание аэровокзала, 1954 г., арх. Н.Макареня», расположенного по адресу: Республика Татарстан, г. Казань, ул. Патриса Лумумбы, д. 47а,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аэровокзала», 1954 г., арх. Н.Макареня, и утверждении предмета охраны, границ и режимов использования территории объекта культурного наследия»</w:t>
            </w:r>
            <w:r w:rsidR="00496E44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E528A9" w:rsidRDefault="00656097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="00E528A9" w:rsidRPr="00EC7B32">
              <w:rPr>
                <w:rFonts w:ascii="Times New Roman" w:hAnsi="Times New Roman"/>
                <w:sz w:val="24"/>
                <w:szCs w:val="24"/>
                <w:lang w:val="tt-RU"/>
              </w:rPr>
              <w:t>«Об утверждении Административного регламента по предоставлению государственной услуги по аттестации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деятельность»;</w:t>
            </w:r>
          </w:p>
          <w:p w:rsidR="007B343C" w:rsidRDefault="007B343C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7B343C">
              <w:rPr>
                <w:rFonts w:ascii="Times New Roman" w:hAnsi="Times New Roman"/>
                <w:sz w:val="24"/>
                <w:szCs w:val="24"/>
                <w:lang w:val="tt-RU"/>
              </w:rPr>
              <w:t>«Об утверждении Административного регламента по предоставлению государственной услуги по записи на обучение по дополните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льной образовательной программе</w:t>
            </w:r>
            <w:r w:rsidRPr="007B343C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B95640" w:rsidRDefault="00B95640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B95640">
              <w:rPr>
                <w:rFonts w:ascii="Times New Roman" w:hAnsi="Times New Roman"/>
                <w:sz w:val="24"/>
                <w:szCs w:val="24"/>
                <w:lang w:val="tt-RU"/>
              </w:rPr>
              <w:t>«Об утверждении Административного регламента по предоставлению государственной услуги «Прием и регистрация заявлений на обучение в образовательные организации, реализующие программы среднег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о профессионального образования</w:t>
            </w:r>
            <w:r w:rsidRPr="00B95640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E528A9" w:rsidRPr="00EC7B32" w:rsidRDefault="00E528A9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</w:t>
            </w:r>
            <w:r w:rsidR="0061514C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Pr="00EC7B32">
              <w:rPr>
                <w:rFonts w:ascii="Times New Roman" w:hAnsi="Times New Roman"/>
                <w:sz w:val="24"/>
                <w:szCs w:val="24"/>
                <w:lang w:val="tt-RU"/>
              </w:rPr>
              <w:t>«О внесении изменений в приказ Министерства культуры Республики Татарстан от 18.06.2018 № 637 од «О включении выявленного объекта культурного наследия «Дом Колодкиной Л.А., кон. 19 в. Здесь в 1916-1926 гг. жил татарский писатель и общественный деятель Фатих Амирхан», расположенного по адресу: Республика Татарстан, г. Казань, ул. Жуковского, д.12,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Л.А.Колодкиной. Здесь в 1916-1926 гг. жил видный татарский писатель, публицист и общественный деятель Фатих Амирхан», конец XIX-начало XX вв., и утверждении предмета охраны, границ и режимов использования территории объекта культурного наследия»;</w:t>
            </w:r>
          </w:p>
          <w:p w:rsidR="00E528A9" w:rsidRPr="00EC7B32" w:rsidRDefault="008A23D4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="0000619A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="00E528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E528A9" w:rsidRPr="00EC7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«О внесении изменений в приказ Министерства культуры Республики Татарстан от </w:t>
            </w:r>
            <w:r w:rsidR="00E528A9" w:rsidRPr="00EC7B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24.10.2023 № 787 од «О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 w:rsidR="0000619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E528A9" w:rsidRDefault="00E528A9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0061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="008A2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отдельные приказы министра</w:t>
            </w:r>
            <w:r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культуры Республики Татарстан»</w:t>
            </w:r>
            <w:r w:rsidR="000061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A23D4" w:rsidRDefault="008A23D4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-  «</w:t>
            </w:r>
            <w:r w:rsidRPr="008A2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внесении изменений в отдельные приказы министр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культуры Республики Татарстан»;</w:t>
            </w:r>
          </w:p>
          <w:p w:rsidR="00AA4F5D" w:rsidRPr="00EC7B32" w:rsidRDefault="00AA4F5D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-  </w:t>
            </w:r>
            <w:r w:rsidR="00FB5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A4F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утверждении состава Экспертного совета по оценке и отбору объектов нематериального этнокультурного </w:t>
            </w:r>
            <w:r w:rsidR="00FB5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достояния Республики Татарстан»;</w:t>
            </w:r>
          </w:p>
          <w:p w:rsidR="00E528A9" w:rsidRDefault="00FB53E4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-  </w:t>
            </w:r>
            <w:r w:rsidR="00E528A9" w:rsidRPr="00EC7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признании утратившим силу приказа Министерства культуры Республики Татарстан от 30.05.2018 № 562 од «Об утверждении границы территории объекта культурного наследия местного (муниципального) значения «Хлебный базар. Комплекс», конец XVIII века – начало XIX века, архитектор В.И. Кафтырев (ансамбль): «Торговый павильон, 1796 г., XIX век, архитектор В.И. Кафтырев»; «Торговые ряды, 1796 г., конец XIX века, архитектор В.И. Кафтырев»; «Дом жилой, вторая половина XIX века»; «Торговые ряды, 1796 г., архитектор В.И. Кафтырев»; «Торговые ряды, 1796 г., архитектор В.И. Кафтырев», расположенного по адресу: г. Казань, ул. Баумана/Профсоюзная»</w:t>
            </w:r>
            <w:r w:rsidR="00BB5C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BB5C0F" w:rsidRDefault="00BB5C0F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</w:t>
            </w:r>
            <w:r w:rsidRPr="00BB5C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внесении изменений в отдельные приказы Министерства культуры Республики Татарстан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BB5C0F" w:rsidRDefault="00BB5C0F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</w:t>
            </w:r>
            <w:r w:rsidRPr="00BB5C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внесении изменения в Порядок сообщения государственными гражданскими служащими Республики Татарстан в Министерстве культуры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приказом Министерства культуры Республики Татарстан от 24.03.2016 № 239 од «Об утверждения порядка сообщения государственными гражданскими служащими Республики Татарстан в Министерстве культуры Республики Татарстан о возникновении личной заинтересованности при исполнении должностных обязанностей, </w:t>
            </w:r>
            <w:r w:rsidR="002D7D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</w:t>
            </w:r>
            <w:r w:rsidRPr="00BB5C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которая приводит или может привести к конфликту интересов»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E528A9" w:rsidRPr="008D0434" w:rsidRDefault="008D0434" w:rsidP="00E52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D0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D0434">
              <w:rPr>
                <w:rFonts w:ascii="Times New Roman" w:hAnsi="Times New Roman"/>
                <w:sz w:val="24"/>
                <w:szCs w:val="24"/>
                <w:lang w:val="tt-RU"/>
              </w:rPr>
              <w:t>О внесении изменения в Порядок подготовки представления в Кабинет Министров Республики Татарстан о воссоздании утраченного объекта культурного наследия, утвержденный приказом Министерства культуры Республики Татарстан от 13 февраля 2015 г. № 145 од «О порядке подготовки представления в Кабинет Министров Республики Татарстан о воссоздании утраченно</w:t>
            </w:r>
            <w:r w:rsidR="00CD07BF">
              <w:rPr>
                <w:rFonts w:ascii="Times New Roman" w:hAnsi="Times New Roman"/>
                <w:sz w:val="24"/>
                <w:szCs w:val="24"/>
                <w:lang w:val="tt-RU"/>
              </w:rPr>
              <w:t>го объекта культурного наследия</w:t>
            </w:r>
            <w:r w:rsidR="00CD07BF" w:rsidRPr="00CD07BF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</w:p>
          <w:p w:rsidR="00761C67" w:rsidRDefault="00892BB3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- </w:t>
            </w:r>
            <w:r w:rsidR="00CD07BF" w:rsidRPr="00CD07BF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CD07BF">
              <w:rPr>
                <w:rFonts w:ascii="Times New Roman" w:hAnsi="Times New Roman"/>
                <w:sz w:val="24"/>
                <w:szCs w:val="24"/>
              </w:rPr>
              <w:t>О</w:t>
            </w:r>
            <w:r w:rsidR="008D0434" w:rsidRPr="008D0434">
              <w:rPr>
                <w:rFonts w:ascii="Times New Roman" w:hAnsi="Times New Roman"/>
                <w:sz w:val="24"/>
                <w:szCs w:val="24"/>
                <w:lang w:val="tt-RU"/>
              </w:rPr>
              <w:t>б утверждении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92BB3">
              <w:rPr>
                <w:rFonts w:ascii="Times New Roman" w:hAnsi="Times New Roman"/>
                <w:sz w:val="24"/>
                <w:szCs w:val="24"/>
                <w:lang w:val="tt-RU"/>
              </w:rPr>
              <w:t>по предоставлению государственной услуги «Прием и регистрация заявлений на обучение в образовательные организации, реализующие программы среднего профессионального образования»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892BB3" w:rsidRDefault="00892BB3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="00B55A52" w:rsidRPr="00B55A52">
              <w:rPr>
                <w:rFonts w:ascii="Times New Roman" w:hAnsi="Times New Roman"/>
                <w:sz w:val="24"/>
                <w:szCs w:val="24"/>
                <w:lang w:val="tt-RU"/>
              </w:rPr>
              <w:t>«Об утверждении формы проверочного листа применяемого Министерством культуры Республики Татарстан при осуществлении регионального государственного контроля (надзора) за состоянием Музейного фонда Российской Федерации в Республике Татарстан»</w:t>
            </w:r>
            <w:r w:rsidR="00B55A52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B55A52" w:rsidRDefault="00B55A52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B55A52">
              <w:rPr>
                <w:rFonts w:ascii="Times New Roman" w:hAnsi="Times New Roman"/>
                <w:sz w:val="24"/>
                <w:szCs w:val="24"/>
                <w:lang w:val="tt-RU"/>
              </w:rPr>
              <w:t>«О внесении изменений в приказ Министерства культуры Республики Татарстан от 31.01.2024 № 35од «Об утверждении Программы «Реализация антикоррупционной политики Министерства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культуры Республики Татарстан»;</w:t>
            </w:r>
          </w:p>
          <w:p w:rsidR="00B55A52" w:rsidRDefault="0045177C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45177C">
              <w:rPr>
                <w:rFonts w:ascii="Times New Roman" w:hAnsi="Times New Roman"/>
                <w:sz w:val="24"/>
                <w:szCs w:val="24"/>
                <w:lang w:val="tt-RU"/>
              </w:rPr>
              <w:t>«Об утверждении Положения о Реестре мастеров народных художественных промыслов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 ремесел Республики Татарстан</w:t>
            </w:r>
            <w:r w:rsidRPr="0045177C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45177C" w:rsidRDefault="0045177C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45177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«О внесении изменений в Положение о Реестре организаций народных художественных промыслов и ремесел Республики Татарстан, утвержденное приказом министра культуры Республики Татарстан от 11.12.2015 № 1324 од «Об утверждении Положения о Реестре организаций народных художественных промыслов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 ремесел Республики Татарстан»;</w:t>
            </w:r>
          </w:p>
          <w:p w:rsidR="0045177C" w:rsidRDefault="0045177C" w:rsidP="004517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="00112806" w:rsidRPr="00112806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Pr="0045177C">
              <w:rPr>
                <w:rFonts w:ascii="Times New Roman" w:hAnsi="Times New Roman"/>
                <w:sz w:val="24"/>
                <w:szCs w:val="24"/>
                <w:lang w:val="tt-RU"/>
              </w:rPr>
              <w:t>Об утверждении Перечня должностей государственной гражданской службы Республики Татарстан в Министерстве культуры Республики Татарстан,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может не проводиться</w:t>
            </w:r>
            <w:r w:rsidR="00112806" w:rsidRPr="00112806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 w:rsidR="00112806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112806" w:rsidRDefault="00112806" w:rsidP="001128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112806">
              <w:rPr>
                <w:rFonts w:ascii="Times New Roman" w:hAnsi="Times New Roman"/>
                <w:sz w:val="24"/>
                <w:szCs w:val="24"/>
                <w:lang w:val="tt-RU"/>
              </w:rPr>
              <w:t>«О внесении изменений в Положение об Общественном совете при Министерстве культуры Республики Татарстан, утвержденное приказом Министерства культуры Республики Татарстан от 24.10.2017 № 925 од «Об Общественном совете при Министерстве культуры Республики Татарстан»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112806" w:rsidRDefault="0036007C" w:rsidP="003600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36007C">
              <w:rPr>
                <w:rFonts w:ascii="Times New Roman" w:hAnsi="Times New Roman"/>
                <w:sz w:val="24"/>
                <w:szCs w:val="24"/>
                <w:lang w:val="tt-RU"/>
              </w:rPr>
              <w:t>«Об утверждении Административного регламента по предоставлению государственной услуги по аттестации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36007C" w:rsidRDefault="00D15DB2" w:rsidP="003600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D15DB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«О внесении изменений в Порядок принятия решения о признании безнадежной к взысканию задолженности по платежам в бюджет Республики Татарстан, </w:t>
            </w:r>
            <w:r w:rsidRPr="00D15DB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администрируемым Министерством культуры Республики Татарстан, утвержденный приказом Министерства культуры Республики Татарстан от 25.10.2023 № 790од»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D15DB2" w:rsidRDefault="00D15DB2" w:rsidP="00D15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D15DB2">
              <w:rPr>
                <w:rFonts w:ascii="Times New Roman" w:hAnsi="Times New Roman"/>
                <w:sz w:val="24"/>
                <w:szCs w:val="24"/>
                <w:lang w:val="tt-RU"/>
              </w:rPr>
              <w:t>«О внесении изменений в Административный регламент предоставления государственной услуги по записи на обучение по дополнительной общеобразовательной программе, утвержденный приказом Министерства культуры Республики Татарстан от 17.08.2022 № 614од «Об утверждении Административного регламента предоставления государственной услуги по записи на обучение по дополнительной общеобразовательной программе»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D15DB2" w:rsidRDefault="00D15DB2" w:rsidP="00D15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D15DB2">
              <w:rPr>
                <w:rFonts w:ascii="Times New Roman" w:hAnsi="Times New Roman"/>
                <w:sz w:val="24"/>
                <w:szCs w:val="24"/>
                <w:lang w:val="tt-RU"/>
              </w:rPr>
              <w:t>«О порядке бесплатного посещения многодетными семьями государственных музеев, музеев-заповедников Республики Татарстан, выставок, проводимых государственными учреждениями культуры Республики Татарстан»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D15DB2" w:rsidRDefault="00D15DB2" w:rsidP="00D15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D15DB2">
              <w:rPr>
                <w:rFonts w:ascii="Times New Roman" w:hAnsi="Times New Roman"/>
                <w:sz w:val="24"/>
                <w:szCs w:val="24"/>
                <w:lang w:val="tt-RU"/>
              </w:rPr>
              <w:t>«О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культуры Республики Татарстан, утвержденный приказом Министерства культуры Республики Татарстан от 25.10.2023 № 790од</w:t>
            </w:r>
            <w:r w:rsidR="00FB3228" w:rsidRPr="00FB3228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 w:rsidR="00FB3228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FB3228" w:rsidRDefault="00FB3228" w:rsidP="00D15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Pr="00FB3228">
              <w:rPr>
                <w:rFonts w:ascii="Times New Roman" w:hAnsi="Times New Roman"/>
                <w:sz w:val="24"/>
                <w:szCs w:val="24"/>
                <w:lang w:val="tt-RU"/>
              </w:rPr>
              <w:t>«О признании утратившим силу приказа Министерства культуры Республики Татарстан от 09.02.2017 № 120од «Об утверждении Положения о Республиканском конкурсе на соискание Премии Министерства культуры Республики Татарстан имени Баки Урманче в области изобразительного, декоративно-прикладного искусства и искусствоведения»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FB3228" w:rsidRDefault="00FB3228" w:rsidP="001D5E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="001D5E30" w:rsidRPr="001D5E30">
              <w:rPr>
                <w:rFonts w:ascii="Times New Roman" w:hAnsi="Times New Roman"/>
                <w:sz w:val="24"/>
                <w:szCs w:val="24"/>
                <w:lang w:val="tt-RU"/>
              </w:rPr>
              <w:t>«О порядке бесплатного посещения семьями (членами семей) граждан, участвующих в специальной военной операции, мероприятий, проводимых государственными учреждениями культуры Республики Татарстан, подведомственными Министерству культуры Республики Татарстан»</w:t>
            </w:r>
            <w:r w:rsidR="001D5E30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1D5E30" w:rsidRPr="00761C67" w:rsidRDefault="001D5E30" w:rsidP="001D5E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="009A42ED" w:rsidRPr="009A42ED">
              <w:rPr>
                <w:rFonts w:ascii="Times New Roman" w:hAnsi="Times New Roman"/>
                <w:sz w:val="24"/>
                <w:szCs w:val="24"/>
                <w:lang w:val="tt-RU"/>
              </w:rPr>
              <w:t>О признании утратившим силу приказа Министерства культуры Республики Татарстан от 13.02.2015 № 145од «О порядке подготовки представления в Кабинет Министров Республики Татарстан о воссоздании утраченного объекта культурного наследия»</w:t>
            </w:r>
            <w:r w:rsidR="009A42ED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761C67" w:rsidRPr="00761C67" w:rsidRDefault="00761C67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67">
              <w:rPr>
                <w:rFonts w:ascii="Times New Roman" w:hAnsi="Times New Roman"/>
                <w:sz w:val="24"/>
                <w:szCs w:val="24"/>
              </w:rPr>
              <w:t>По результатам независимой антикоррупционной экспертизы проекта нормативного правового акта во I</w:t>
            </w:r>
            <w:r w:rsidRPr="00761C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61C67">
              <w:rPr>
                <w:rFonts w:ascii="Times New Roman" w:hAnsi="Times New Roman"/>
                <w:sz w:val="24"/>
                <w:szCs w:val="24"/>
              </w:rPr>
              <w:t xml:space="preserve"> квартале 2024 года заключений от независимых экспертов не поступало.</w:t>
            </w:r>
          </w:p>
          <w:p w:rsidR="002370A6" w:rsidRDefault="00761C67" w:rsidP="00761C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C67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–100%</w:t>
            </w:r>
          </w:p>
        </w:tc>
      </w:tr>
    </w:tbl>
    <w:p w:rsidR="004D275C" w:rsidRDefault="004D275C" w:rsidP="004D27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68C5" w:rsidRDefault="00B668C5" w:rsidP="00B6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8C5" w:rsidRDefault="00B668C5" w:rsidP="00B6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8C5" w:rsidRDefault="00D95F6E" w:rsidP="00B6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предоставления информации об исполнении </w:t>
      </w:r>
      <w:r w:rsidR="004D275C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2370A6" w:rsidRPr="004D275C" w:rsidRDefault="00D95F6E" w:rsidP="00B6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2370A6" w:rsidRDefault="002370A6" w:rsidP="004D2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0A6" w:rsidRDefault="002370A6" w:rsidP="004D2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3714"/>
        <w:gridCol w:w="2126"/>
        <w:gridCol w:w="9461"/>
      </w:tblGrid>
      <w:tr w:rsidR="002370A6" w:rsidTr="00EE0658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9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2370A6" w:rsidTr="00EE0658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0A6" w:rsidRDefault="002370A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3714"/>
        <w:gridCol w:w="2126"/>
        <w:gridCol w:w="9461"/>
      </w:tblGrid>
      <w:tr w:rsidR="002370A6" w:rsidTr="00EE0658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70A6" w:rsidTr="00B3327D">
        <w:trPr>
          <w:trHeight w:val="34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2370A6" w:rsidRDefault="002370A6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A6" w:rsidTr="00EE0658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66" w:rsidRPr="00CB1E4A" w:rsidRDefault="00FE2A66" w:rsidP="00FE2A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E4A">
              <w:rPr>
                <w:rFonts w:ascii="Times New Roman" w:hAnsi="Times New Roman"/>
                <w:sz w:val="24"/>
                <w:szCs w:val="24"/>
              </w:rPr>
              <w:t>Принят приказ Министерства от 26.06.2024 № 493од «О внесении изменений в приказ Министерства культуры Республики Татарстан от 24.10.2023 № 787 од «О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интересов».</w:t>
            </w:r>
          </w:p>
          <w:p w:rsidR="00FE2A66" w:rsidRPr="00CB1E4A" w:rsidRDefault="00FE2A66" w:rsidP="00FE2A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E4A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–100%</w:t>
            </w:r>
          </w:p>
          <w:p w:rsidR="002370A6" w:rsidRDefault="002370A6" w:rsidP="00C80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0A6" w:rsidTr="00EE0658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1D5012" w:rsidP="001D501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="00D95F6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9" w:anchor="/document/196300/entry/0" w:history="1">
              <w:r w:rsidR="00D95F6E"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 w:rsidR="00D95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Президента Российской Федерации № 1065 </w:t>
            </w:r>
            <w:r w:rsidR="00D95F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 </w:t>
            </w:r>
            <w:hyperlink r:id="rId10" w:anchor="/document/8166002/entry/0" w:history="1">
              <w:r w:rsidR="00D95F6E"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 w:rsidR="00D95F6E"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  <w:p w:rsidR="002370A6" w:rsidRDefault="002370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4A" w:rsidRPr="00C8024A" w:rsidRDefault="00C8024A" w:rsidP="00C80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24A">
              <w:rPr>
                <w:rFonts w:ascii="Times New Roman" w:hAnsi="Times New Roman"/>
                <w:sz w:val="24"/>
                <w:szCs w:val="24"/>
              </w:rPr>
              <w:t>Приказом Министерства от  02.11.2024 № 882од назначено ответственное лицо за работу по профилактике коррупционных и иных правонарушений.</w:t>
            </w:r>
          </w:p>
          <w:p w:rsidR="00C8024A" w:rsidRPr="00C8024A" w:rsidRDefault="00C8024A" w:rsidP="00C80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24A">
              <w:rPr>
                <w:rFonts w:ascii="Times New Roman" w:hAnsi="Times New Roman"/>
                <w:sz w:val="24"/>
                <w:szCs w:val="24"/>
              </w:rPr>
              <w:t>В Министерстве созданы условия для работы лица, ответственного за работу по профилактике коррупционных и иных правонарушений. Должностной регламент лица, ответственного за работу по профилактике коррупционных и иных правонарушений размещен на сайте Министерства в разделе «Противодействие коррупции».</w:t>
            </w:r>
          </w:p>
          <w:p w:rsidR="002370A6" w:rsidRDefault="00C8024A" w:rsidP="00C80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024A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EE06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283" w:rsidRPr="00C7666F" w:rsidRDefault="00910B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283">
              <w:rPr>
                <w:rFonts w:ascii="Times New Roman" w:hAnsi="Times New Roman"/>
                <w:sz w:val="24"/>
                <w:szCs w:val="24"/>
              </w:rPr>
              <w:t>Приказом Министерства от 25.07.2023 № 543од актуализирован перечень должностей, замещение которых связано с коррупционными рисками</w:t>
            </w:r>
            <w:r w:rsidR="00716283" w:rsidRPr="00716283">
              <w:rPr>
                <w:rFonts w:ascii="Times New Roman" w:hAnsi="Times New Roman"/>
                <w:sz w:val="24"/>
                <w:szCs w:val="24"/>
              </w:rPr>
              <w:t>.</w:t>
            </w:r>
            <w:r w:rsidR="00F7069A">
              <w:rPr>
                <w:rFonts w:ascii="Times New Roman" w:hAnsi="Times New Roman"/>
                <w:sz w:val="24"/>
                <w:szCs w:val="24"/>
              </w:rPr>
              <w:t xml:space="preserve"> Все должности государственной гражданской службы в Министерстве входят </w:t>
            </w:r>
            <w:r w:rsidR="00C7666F">
              <w:rPr>
                <w:rFonts w:ascii="Times New Roman" w:hAnsi="Times New Roman"/>
                <w:sz w:val="24"/>
                <w:szCs w:val="24"/>
              </w:rPr>
              <w:t>в перечень должностей</w:t>
            </w:r>
            <w:r w:rsidR="00C7666F" w:rsidRPr="00C766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666F">
              <w:rPr>
                <w:rFonts w:ascii="Times New Roman" w:hAnsi="Times New Roman"/>
                <w:sz w:val="24"/>
                <w:szCs w:val="24"/>
              </w:rPr>
              <w:t>замещ</w:t>
            </w:r>
            <w:r w:rsidR="0010000E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980A67">
              <w:rPr>
                <w:rFonts w:ascii="Times New Roman" w:hAnsi="Times New Roman"/>
                <w:sz w:val="24"/>
                <w:szCs w:val="24"/>
              </w:rPr>
              <w:t xml:space="preserve"> которых связано с коррупционными рисками.</w:t>
            </w:r>
          </w:p>
          <w:p w:rsidR="00716283" w:rsidRPr="00716283" w:rsidRDefault="00716283" w:rsidP="00716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0A6" w:rsidRPr="00716283" w:rsidRDefault="00716283" w:rsidP="00716283">
            <w:pPr>
              <w:rPr>
                <w:rFonts w:ascii="Times New Roman" w:hAnsi="Times New Roman"/>
                <w:sz w:val="18"/>
                <w:szCs w:val="18"/>
              </w:rPr>
            </w:pPr>
            <w:r w:rsidRPr="0071628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EE06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0A" w:rsidRPr="00597F6C" w:rsidRDefault="003A320A" w:rsidP="003A32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В отчетный период проведен анализ личных дел гражданских служащих Министерства и анализ документов,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14 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>кандидатами на замещение должностей государственной гражданской службы в Министерстве. Конфликт интересов отсутствует.</w:t>
            </w:r>
          </w:p>
          <w:p w:rsidR="003A320A" w:rsidRPr="00597F6C" w:rsidRDefault="003A320A" w:rsidP="003A32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 w:rsidR="002370A6" w:rsidRDefault="002370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0A6" w:rsidTr="00EE06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9D" w:rsidRPr="00CF6A9D" w:rsidRDefault="003A320A" w:rsidP="00CF6A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F6A9D" w:rsidRPr="00CF6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отчетный период с использованием ЕГРЮЛ и ЕГРИП проана</w:t>
            </w:r>
            <w:r w:rsidR="00644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лизированы данные 14</w:t>
            </w:r>
            <w:r w:rsidR="00CF6A9D" w:rsidRPr="00CF6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кандидатов на замещение должностей государственной службы в Министерстве и данные всех 48 государственных гражданских служащих. Конфликт интересов отсут</w:t>
            </w:r>
            <w:r w:rsidR="00644D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ствует. </w:t>
            </w:r>
            <w:r w:rsidR="00CF6A9D" w:rsidRPr="00CF6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Случаев несоблюдения запретов и ограничений, а также неисполнения обязанностей, установленных в целях противодействия коррупции, не установлено.</w:t>
            </w:r>
          </w:p>
          <w:p w:rsidR="002370A6" w:rsidRDefault="00CF6A9D" w:rsidP="00CF6A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6A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 w:rsidR="002370A6" w:rsidTr="00EE06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33" w:rsidRPr="00C21206" w:rsidRDefault="00262833" w:rsidP="002628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06">
              <w:rPr>
                <w:rFonts w:ascii="Times New Roman" w:hAnsi="Times New Roman"/>
                <w:sz w:val="24"/>
                <w:szCs w:val="24"/>
              </w:rPr>
              <w:t>Ответственным лицом за работу по профилактике коррупционных и иных правонарушений ежеквартально осуществляется мониторинг возможного уча</w:t>
            </w:r>
            <w:r>
              <w:rPr>
                <w:rFonts w:ascii="Times New Roman" w:hAnsi="Times New Roman"/>
                <w:sz w:val="24"/>
                <w:szCs w:val="24"/>
              </w:rPr>
              <w:t>стия госу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>дарственных гражданских служащих Министерства на предмет участия в деятельности и управлении ком</w:t>
            </w:r>
            <w:r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>ческими и некоммерческими организациями. В от</w:t>
            </w:r>
            <w:r>
              <w:rPr>
                <w:rFonts w:ascii="Times New Roman" w:hAnsi="Times New Roman"/>
                <w:sz w:val="24"/>
                <w:szCs w:val="24"/>
              </w:rPr>
              <w:t>четный период нарушений не уста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>новлено.</w:t>
            </w:r>
          </w:p>
          <w:p w:rsidR="002370A6" w:rsidRDefault="00262833" w:rsidP="002628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20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EE06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2370A6" w:rsidRDefault="002370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33" w:rsidRPr="00262833" w:rsidRDefault="00262833" w:rsidP="002628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33">
              <w:rPr>
                <w:rFonts w:ascii="Times New Roman" w:hAnsi="Times New Roman"/>
                <w:sz w:val="24"/>
                <w:szCs w:val="24"/>
              </w:rPr>
              <w:t>Министерству подведомственны 58 учреждений культуры.</w:t>
            </w:r>
          </w:p>
          <w:p w:rsidR="00262833" w:rsidRPr="00262833" w:rsidRDefault="00262833" w:rsidP="002628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33">
              <w:rPr>
                <w:rFonts w:ascii="Times New Roman" w:hAnsi="Times New Roman"/>
                <w:sz w:val="24"/>
                <w:szCs w:val="24"/>
              </w:rPr>
              <w:t xml:space="preserve">Для недопущения нарушения законодательства, установленного в целях противодействия коррупции, а также недопущения поведения, которое может восприниматься окружающими как согласие на получение взятки, сотрудникам подведомственных учреждений Министерства доводятся все нормативные правовые акты и информационные материалы по антикоррупционной деятельности. Руководители всех подведомственных учреждений очно/заочно присутствуют на антикоррупционных семинарах, проводимых для сотрудников Министерства и подведомственных учреждений. Также в Министерстве образована Комиссия Министерства культуры Республики Татарстан по рассмотрению уведомлений руководителей учреждений, подведомственных Министерству культуры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2370A6" w:rsidRDefault="00262833" w:rsidP="002628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283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EE06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2370A6" w:rsidRDefault="00D95F6E"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2370A6" w:rsidRDefault="002370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F2" w:rsidRPr="00EA03CB" w:rsidRDefault="00500DF2" w:rsidP="00500D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План работы Коми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ссии при министре по противодей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ствию коррупции на 2024 год утвержден на засе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дании Комиссии. В отчетном пери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оде состоялись заседание Комиссии при министре по противодействию к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оррупции и Комиссии по  соблю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дению требован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ий к служебному поведению госу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дарственных гра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жданских служащих и урегулирова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нию конфликта интересов.</w:t>
            </w:r>
          </w:p>
          <w:p w:rsidR="002370A6" w:rsidRDefault="00500DF2" w:rsidP="00500D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Значения индикаторов по мероприятию – 100%</w:t>
            </w:r>
          </w:p>
        </w:tc>
      </w:tr>
      <w:tr w:rsidR="002370A6" w:rsidTr="00B3327D"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2370A6" w:rsidTr="00EE065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D3" w:rsidRPr="00BA71FD" w:rsidRDefault="000F0BD3" w:rsidP="000F0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экспер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тиза нормативных правовых актов 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нии приказа Министерства культуры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13.03.2017 № 217 од «Об утверждении порядка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</w:t>
            </w:r>
            <w:r>
              <w:rPr>
                <w:rFonts w:ascii="Times New Roman" w:hAnsi="Times New Roman"/>
                <w:sz w:val="24"/>
                <w:szCs w:val="24"/>
              </w:rPr>
              <w:t>тизы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правовых актов и проектов норма</w:t>
            </w:r>
            <w:r>
              <w:rPr>
                <w:rFonts w:ascii="Times New Roman" w:hAnsi="Times New Roman"/>
                <w:sz w:val="24"/>
                <w:szCs w:val="24"/>
              </w:rPr>
              <w:t>тивных пра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вовых актов Министерства культуры Республики Татарстан». Соответствующая информация размещается на офици</w:t>
            </w:r>
            <w:r>
              <w:rPr>
                <w:rFonts w:ascii="Times New Roman" w:hAnsi="Times New Roman"/>
                <w:sz w:val="24"/>
                <w:szCs w:val="24"/>
              </w:rPr>
              <w:t>альном сайте Мини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стерства.</w:t>
            </w:r>
          </w:p>
          <w:p w:rsidR="000F0BD3" w:rsidRPr="00BA71FD" w:rsidRDefault="000F0BD3" w:rsidP="000F0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1FD">
              <w:rPr>
                <w:rFonts w:ascii="Times New Roman" w:hAnsi="Times New Roman"/>
                <w:sz w:val="24"/>
                <w:szCs w:val="24"/>
              </w:rPr>
              <w:t>Коррупциогенных факторов за истекший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риод 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выявлено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0BD3" w:rsidRDefault="000F0BD3" w:rsidP="000F0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A71FD">
              <w:rPr>
                <w:rFonts w:ascii="Times New Roman" w:hAnsi="Times New Roman"/>
                <w:sz w:val="24"/>
                <w:szCs w:val="24"/>
              </w:rPr>
              <w:t>Приказом Министерства культуры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19.06.2023 № 100/2л ответственным лицом за проведение антикор</w:t>
            </w:r>
            <w:r>
              <w:rPr>
                <w:rFonts w:ascii="Times New Roman" w:hAnsi="Times New Roman"/>
                <w:sz w:val="24"/>
                <w:szCs w:val="24"/>
              </w:rPr>
              <w:t>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эксперти</w:t>
            </w:r>
            <w:r>
              <w:rPr>
                <w:rFonts w:ascii="Times New Roman" w:hAnsi="Times New Roman"/>
                <w:sz w:val="24"/>
                <w:szCs w:val="24"/>
              </w:rPr>
              <w:t>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актов назнач</w:t>
            </w:r>
            <w:r>
              <w:rPr>
                <w:rFonts w:ascii="Times New Roman" w:hAnsi="Times New Roman"/>
                <w:sz w:val="24"/>
                <w:szCs w:val="24"/>
              </w:rPr>
              <w:t>ен  ве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дущий  советник  отдела  государственной службы, кадровой и юридической работы, Рахимзянова А.И.</w:t>
            </w:r>
          </w:p>
          <w:p w:rsidR="000F0BD3" w:rsidRDefault="000F0BD3" w:rsidP="000F0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За отчетный период прове</w:t>
            </w:r>
            <w:r w:rsidRPr="00133B4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дена антикоррупционная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экспертиза 32</w:t>
            </w:r>
            <w:r w:rsidR="00CA400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нормативных правововых актов</w:t>
            </w:r>
            <w:r w:rsidR="00CA400D" w:rsidRPr="00CA4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400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A400D" w:rsidRDefault="00CA400D" w:rsidP="000F0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проекта постановлени</w:t>
            </w:r>
            <w:r w:rsidR="00C63919">
              <w:rPr>
                <w:rFonts w:ascii="Times New Roman" w:hAnsi="Times New Roman"/>
                <w:sz w:val="24"/>
                <w:szCs w:val="24"/>
              </w:rPr>
              <w:t xml:space="preserve">й Кабинета Министров </w:t>
            </w:r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r w:rsidR="00C63919">
              <w:rPr>
                <w:rFonts w:ascii="Times New Roman" w:hAnsi="Times New Roman"/>
                <w:sz w:val="24"/>
                <w:szCs w:val="24"/>
              </w:rPr>
              <w:t>ки</w:t>
            </w:r>
            <w:r w:rsidR="00D930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Татарстан</w:t>
            </w:r>
            <w:r w:rsidR="00C639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92BE9" w:rsidRDefault="00492BE9" w:rsidP="000F0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проектов приказа Министерства.</w:t>
            </w:r>
          </w:p>
          <w:p w:rsidR="00492BE9" w:rsidRPr="00CA400D" w:rsidRDefault="00492BE9" w:rsidP="000F0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0A6" w:rsidRPr="000F0BD3" w:rsidRDefault="002370A6" w:rsidP="000F0BD3">
            <w:pPr>
              <w:widowControl w:val="0"/>
              <w:spacing w:after="0" w:line="240" w:lineRule="auto"/>
              <w:jc w:val="both"/>
              <w:rPr>
                <w:sz w:val="18"/>
                <w:szCs w:val="18"/>
                <w:lang w:val="tt-RU"/>
              </w:rPr>
            </w:pPr>
          </w:p>
        </w:tc>
      </w:tr>
      <w:tr w:rsidR="002370A6" w:rsidTr="00B3327D"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56" w:rsidRPr="00755D56" w:rsidRDefault="00755D56" w:rsidP="00755D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государственные гражданские служащие Министерства своевременно ознакамливаются с актуальными изменениями законодательства о противодействии коррупции. </w:t>
            </w:r>
          </w:p>
          <w:p w:rsidR="00755D56" w:rsidRPr="00755D56" w:rsidRDefault="00755D56" w:rsidP="00755D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По состоянию на отчетную дату разъяснения по антикоррупционной тематике и индивидуальные беседы проведены со всеми государственными граждан</w:t>
            </w:r>
            <w:r w:rsidR="00F504ED">
              <w:rPr>
                <w:rFonts w:ascii="Times New Roman" w:hAnsi="Times New Roman"/>
                <w:color w:val="000000"/>
                <w:sz w:val="24"/>
                <w:szCs w:val="24"/>
              </w:rPr>
              <w:t>скими служащими Министерства и 14</w:t>
            </w: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претендентами на должности государственной гражданской службы Республики Татарстан в Министерстве. </w:t>
            </w:r>
          </w:p>
          <w:p w:rsidR="002370A6" w:rsidRDefault="00755D56" w:rsidP="00755D5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755D56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A2" w:rsidRPr="00516796" w:rsidRDefault="0094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796">
              <w:rPr>
                <w:rFonts w:ascii="Times New Roman" w:hAnsi="Times New Roman"/>
                <w:sz w:val="24"/>
                <w:szCs w:val="24"/>
              </w:rPr>
              <w:t xml:space="preserve">Ежеквартально проводятся заседания Комиссии при </w:t>
            </w:r>
            <w:r w:rsidR="00884D14" w:rsidRPr="00516796">
              <w:rPr>
                <w:rFonts w:ascii="Times New Roman" w:hAnsi="Times New Roman"/>
                <w:sz w:val="24"/>
                <w:szCs w:val="24"/>
              </w:rPr>
              <w:t xml:space="preserve">Министре </w:t>
            </w:r>
            <w:r w:rsidRPr="00516796">
              <w:rPr>
                <w:rFonts w:ascii="Times New Roman" w:hAnsi="Times New Roman"/>
                <w:sz w:val="24"/>
                <w:szCs w:val="24"/>
              </w:rPr>
              <w:t>по противодействию коррупции и Общественного совета при</w:t>
            </w:r>
            <w:r w:rsidR="00884D14" w:rsidRPr="00516796">
              <w:rPr>
                <w:rFonts w:ascii="Times New Roman" w:hAnsi="Times New Roman"/>
                <w:sz w:val="24"/>
                <w:szCs w:val="24"/>
              </w:rPr>
              <w:t xml:space="preserve"> Министерстве</w:t>
            </w:r>
            <w:r w:rsidRPr="00516796">
              <w:rPr>
                <w:rFonts w:ascii="Times New Roman" w:hAnsi="Times New Roman"/>
                <w:sz w:val="24"/>
                <w:szCs w:val="24"/>
              </w:rPr>
              <w:t>, на которых рассматриваются отчеты о реализации ведомственн</w:t>
            </w:r>
            <w:r w:rsidR="00516796" w:rsidRPr="00516796">
              <w:rPr>
                <w:rFonts w:ascii="Times New Roman" w:hAnsi="Times New Roman"/>
                <w:sz w:val="24"/>
                <w:szCs w:val="24"/>
              </w:rPr>
              <w:t>ой антикоррупционной программы Министерства</w:t>
            </w:r>
            <w:r w:rsidRPr="005167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0A6" w:rsidRPr="00516796" w:rsidRDefault="00944DA2" w:rsidP="00944DA2">
            <w:pPr>
              <w:rPr>
                <w:rFonts w:ascii="Times New Roman" w:hAnsi="Times New Roman"/>
                <w:sz w:val="24"/>
                <w:szCs w:val="24"/>
              </w:rPr>
            </w:pPr>
            <w:r w:rsidRPr="0051679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B3327D">
        <w:trPr>
          <w:trHeight w:val="594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DF" w:rsidRPr="00423EDF" w:rsidRDefault="00423EDF" w:rsidP="00423E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Министерства в разделе «Противодействие коррупции» для граждан размещен «Телефон доверия» для сообщений о проявлениях коррупции в Министерстве; </w:t>
            </w:r>
          </w:p>
          <w:p w:rsidR="00423EDF" w:rsidRPr="00423EDF" w:rsidRDefault="00423EDF" w:rsidP="00423E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 xml:space="preserve">функционирует раздел «Интернет-приемная», где граждане могут оставлять электронные сообщения. </w:t>
            </w:r>
          </w:p>
          <w:p w:rsidR="00423EDF" w:rsidRPr="00423EDF" w:rsidRDefault="00423EDF" w:rsidP="00423E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>За отчетный период 2024 года обращения от граждан и организаций о фактах проявления коррупции среди служащих Министерства в Министерство, а также представителям Общественного совета при Министерстве не поступали</w:t>
            </w:r>
            <w:r w:rsidR="00F271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0A6" w:rsidRDefault="00423EDF" w:rsidP="00423E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3EDF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DF" w:rsidRPr="0055626A" w:rsidRDefault="00423EDF" w:rsidP="00423E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 осуществляется работа по про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ведению мони</w:t>
            </w:r>
            <w:r>
              <w:rPr>
                <w:rFonts w:ascii="Times New Roman" w:hAnsi="Times New Roman"/>
                <w:sz w:val="24"/>
                <w:szCs w:val="24"/>
              </w:rPr>
              <w:t>торинга ин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формации о коррупционных проявлениях в деятельности должностных лиц Ми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стерства, размещенной в средствах массовой информации и содержащейся в поступающих обращениях граждан и юридических лиц.</w:t>
            </w:r>
          </w:p>
          <w:p w:rsidR="00F271CA" w:rsidRDefault="00423EDF" w:rsidP="00423E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 xml:space="preserve">2024 года </w:t>
            </w:r>
            <w:r w:rsidRPr="00375E44">
              <w:rPr>
                <w:rFonts w:ascii="Times New Roman" w:hAnsi="Times New Roman"/>
                <w:sz w:val="24"/>
                <w:szCs w:val="24"/>
                <w:lang w:val="tt-RU"/>
              </w:rPr>
              <w:t>в средствах массовой информации выявлено</w:t>
            </w:r>
            <w:r w:rsidR="00DA28B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2</w:t>
            </w:r>
            <w:r w:rsidRPr="00375E4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сооб</w:t>
            </w:r>
            <w:r w:rsidR="00DA28BD">
              <w:rPr>
                <w:rFonts w:ascii="Times New Roman" w:hAnsi="Times New Roman"/>
                <w:sz w:val="24"/>
                <w:szCs w:val="24"/>
              </w:rPr>
              <w:t>щения</w:t>
            </w:r>
            <w:r w:rsidRPr="00375E44">
              <w:rPr>
                <w:rFonts w:ascii="Times New Roman" w:hAnsi="Times New Roman"/>
                <w:sz w:val="24"/>
                <w:szCs w:val="24"/>
              </w:rPr>
              <w:t xml:space="preserve"> коррупцион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="00F271CA">
              <w:rPr>
                <w:rFonts w:ascii="Times New Roman" w:hAnsi="Times New Roman"/>
                <w:sz w:val="24"/>
                <w:szCs w:val="24"/>
              </w:rPr>
              <w:t>направленности в подведомственных</w:t>
            </w:r>
            <w:r w:rsidRPr="00375E44">
              <w:rPr>
                <w:rFonts w:ascii="Times New Roman" w:hAnsi="Times New Roman"/>
                <w:sz w:val="24"/>
                <w:szCs w:val="24"/>
              </w:rPr>
              <w:t xml:space="preserve"> Министерству</w:t>
            </w:r>
            <w:r>
              <w:t xml:space="preserve"> </w:t>
            </w:r>
            <w:r w:rsidR="00F271CA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375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1CA" w:rsidRDefault="00F271CA" w:rsidP="00F271C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70A6" w:rsidRPr="00F271CA" w:rsidRDefault="00F271CA" w:rsidP="00F271CA">
            <w:pPr>
              <w:rPr>
                <w:rFonts w:ascii="Times New Roman" w:hAnsi="Times New Roman"/>
                <w:sz w:val="24"/>
                <w:szCs w:val="24"/>
              </w:rPr>
            </w:pPr>
            <w:r w:rsidRPr="00F271CA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18" w:rsidRPr="00CB2D43" w:rsidRDefault="00AC1518" w:rsidP="00AC15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>Информация размещается в разделах «Противодействие коррупции» официал</w:t>
            </w:r>
            <w:r>
              <w:rPr>
                <w:rFonts w:ascii="Times New Roman" w:hAnsi="Times New Roman"/>
                <w:sz w:val="24"/>
                <w:szCs w:val="24"/>
              </w:rPr>
              <w:t>ьного сайта Министерства в соот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ветствии с рекомендациями Мини</w:t>
            </w:r>
            <w:r>
              <w:rPr>
                <w:rFonts w:ascii="Times New Roman" w:hAnsi="Times New Roman"/>
                <w:sz w:val="24"/>
                <w:szCs w:val="24"/>
              </w:rPr>
              <w:t>стерства юстиции Рес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ублики Татарстан и поста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новлением Каби</w:t>
            </w:r>
            <w:r>
              <w:rPr>
                <w:rFonts w:ascii="Times New Roman" w:hAnsi="Times New Roman"/>
                <w:sz w:val="24"/>
                <w:szCs w:val="24"/>
              </w:rPr>
              <w:t>нета Мини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стров Республики Татарстан от 04.04.2013 № 2</w:t>
            </w:r>
            <w:r>
              <w:rPr>
                <w:rFonts w:ascii="Times New Roman" w:hAnsi="Times New Roman"/>
                <w:sz w:val="24"/>
                <w:szCs w:val="24"/>
              </w:rPr>
              <w:t>25 «Об утверждении Единых требо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ваний к размещению и наполнению раз</w:t>
            </w:r>
            <w:r>
              <w:rPr>
                <w:rFonts w:ascii="Times New Roman" w:hAnsi="Times New Roman"/>
                <w:sz w:val="24"/>
                <w:szCs w:val="24"/>
              </w:rPr>
              <w:t>делов офи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циальных сайтов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олнительных органов власти Республики Татарстан в инфор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«Интернет» по вопросам противодей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корруп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 xml:space="preserve">ции».    </w:t>
            </w:r>
          </w:p>
          <w:p w:rsidR="00AC1518" w:rsidRPr="00CB2D43" w:rsidRDefault="00AC1518" w:rsidP="00AC15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 xml:space="preserve">    Стенд «Противодействие коррупции» находится на 1 этаже и приводится в соответствие по мере обновления антикоррупционного законодательства.</w:t>
            </w:r>
          </w:p>
          <w:p w:rsidR="00AC1518" w:rsidRDefault="00AC1518" w:rsidP="00AC15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Значения индикаторов по мероприятию – 100%</w:t>
            </w:r>
          </w:p>
          <w:p w:rsidR="002370A6" w:rsidRDefault="002370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0A6" w:rsidTr="00B3327D">
        <w:trPr>
          <w:trHeight w:val="636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F96835" w:rsidP="00F96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35">
              <w:rPr>
                <w:rFonts w:ascii="Times New Roman" w:hAnsi="Times New Roman"/>
                <w:sz w:val="24"/>
                <w:szCs w:val="24"/>
              </w:rPr>
              <w:t xml:space="preserve">Все закупки товаров, работ и услуг осуществляются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что является профилактикой и противодействием коррупционным проявлениям при осуществлении закупок для нужд Министерства. Информация о закупках, начиная с этапа планирования и заканчивая отчетом о результатах исполнения контракта, публикуется на официальном сайте Российской Федерации в информационно-телекоммуникационной сети «Интернет» - </w:t>
            </w:r>
            <w:hyperlink r:id="rId12" w:history="1">
              <w:r w:rsidR="00256D02" w:rsidRPr="00AD5A41">
                <w:rPr>
                  <w:rStyle w:val="af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25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6D02" w:rsidRPr="00F96835" w:rsidRDefault="00256D02" w:rsidP="00F96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D02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3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4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95" w:rsidRDefault="000148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895">
              <w:rPr>
                <w:rFonts w:ascii="Times New Roman" w:hAnsi="Times New Roman"/>
                <w:sz w:val="24"/>
                <w:szCs w:val="24"/>
              </w:rPr>
              <w:t>Ведомственный контроль за закупками подведомственных Министерству организаций осуществляется в соответствии</w:t>
            </w:r>
            <w:r w:rsidR="00966FB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014895">
              <w:rPr>
                <w:rFonts w:ascii="Times New Roman" w:hAnsi="Times New Roman"/>
                <w:sz w:val="24"/>
                <w:szCs w:val="24"/>
              </w:rPr>
              <w:t>Правилами осуществления ведомственного контроля в сфере закупок для обеспечения государственных нужд Республики Татарстан, утвержденными Постановлением Кабинета Министров Республики Татарстан от 11.08.2014 № 577.</w:t>
            </w:r>
          </w:p>
          <w:p w:rsidR="002370A6" w:rsidRPr="00014895" w:rsidRDefault="00014895" w:rsidP="00014895">
            <w:pPr>
              <w:rPr>
                <w:rFonts w:ascii="Times New Roman" w:hAnsi="Times New Roman"/>
                <w:sz w:val="24"/>
                <w:szCs w:val="24"/>
              </w:rPr>
            </w:pPr>
            <w:r w:rsidRPr="00014895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56" w:rsidRPr="003C5856" w:rsidRDefault="003C5856" w:rsidP="003C58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56">
              <w:rPr>
                <w:rFonts w:ascii="Times New Roman" w:hAnsi="Times New Roman"/>
                <w:sz w:val="24"/>
                <w:szCs w:val="24"/>
              </w:rPr>
              <w:t>Начальная максимальная цена контракта определяется согласно статье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370A6" w:rsidRDefault="003C5856" w:rsidP="003C58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56">
              <w:rPr>
                <w:rFonts w:ascii="Times New Roman" w:hAnsi="Times New Roman"/>
                <w:sz w:val="24"/>
                <w:szCs w:val="24"/>
              </w:rPr>
              <w:t xml:space="preserve"> Доля закупок, в ходе проведения которых контрольными органами вынесено решение о привлечении к административной ответственности должностного лица за нарушение правил описания объекта закупки и правил формирования начальной максимальной цены контракта, процентов – 0%.</w:t>
            </w:r>
          </w:p>
          <w:p w:rsidR="003C5856" w:rsidRPr="003C5856" w:rsidRDefault="003C5856" w:rsidP="003C58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5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100%.</w:t>
            </w:r>
          </w:p>
        </w:tc>
      </w:tr>
      <w:tr w:rsidR="002370A6" w:rsidTr="00B3327D"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2E" w:rsidRPr="009076B5" w:rsidRDefault="0054212E" w:rsidP="00542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В отчетный период об</w:t>
            </w:r>
            <w:r>
              <w:rPr>
                <w:rFonts w:ascii="Times New Roman" w:hAnsi="Times New Roman"/>
                <w:sz w:val="24"/>
                <w:szCs w:val="24"/>
              </w:rPr>
              <w:t>ращений от граждан и юридических лиц о фактах проявле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ния коррупции в Мини</w:t>
            </w:r>
            <w:r>
              <w:rPr>
                <w:rFonts w:ascii="Times New Roman" w:hAnsi="Times New Roman"/>
                <w:sz w:val="24"/>
                <w:szCs w:val="24"/>
              </w:rPr>
              <w:t>стер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ство не поступало.</w:t>
            </w:r>
          </w:p>
          <w:p w:rsidR="002370A6" w:rsidRDefault="0054212E" w:rsidP="00542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2370A6" w:rsidTr="00EE0658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A6" w:rsidRDefault="002370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473A" w:rsidRPr="009076B5" w:rsidRDefault="0073473A" w:rsidP="007347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реализации ком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плекса организационных, разъяснительных и иных мер по соблюдению государственными гражданскими служащими ограничений и запре</w:t>
            </w:r>
            <w:r>
              <w:rPr>
                <w:rFonts w:ascii="Times New Roman" w:hAnsi="Times New Roman"/>
                <w:sz w:val="24"/>
                <w:szCs w:val="24"/>
              </w:rPr>
              <w:t>тов, а также по испол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нению ими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тиводействия коррупции, в обязательном порядке проводится работа с граж</w:t>
            </w:r>
            <w:r>
              <w:rPr>
                <w:rFonts w:ascii="Times New Roman" w:hAnsi="Times New Roman"/>
                <w:sz w:val="24"/>
                <w:szCs w:val="24"/>
              </w:rPr>
              <w:t>дана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ми, поступающими на государственную службу, по ознакомле</w:t>
            </w:r>
            <w:r>
              <w:rPr>
                <w:rFonts w:ascii="Times New Roman" w:hAnsi="Times New Roman"/>
                <w:sz w:val="24"/>
                <w:szCs w:val="24"/>
              </w:rPr>
              <w:t>нию с требовани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ями действующего зако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дательства 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ственной службе.  При увольне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нии государственного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гражданского служащего с госу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дарственной служ</w:t>
            </w:r>
            <w:r>
              <w:rPr>
                <w:rFonts w:ascii="Times New Roman" w:hAnsi="Times New Roman"/>
                <w:sz w:val="24"/>
                <w:szCs w:val="24"/>
              </w:rPr>
              <w:t>бы прово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дятся соответствующие разъяснительные беседы с обязательным ознакомле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ем бывшего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го гражданскому служащего с Поста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новлением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тельства Российской Феде-рации от 21 января 201</w:t>
            </w:r>
            <w:r>
              <w:rPr>
                <w:rFonts w:ascii="Times New Roman" w:hAnsi="Times New Roman"/>
                <w:sz w:val="24"/>
                <w:szCs w:val="24"/>
              </w:rPr>
              <w:t>5 года № 29 «Об утверждении Пра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вил сообщения раб</w:t>
            </w:r>
            <w:r>
              <w:rPr>
                <w:rFonts w:ascii="Times New Roman" w:hAnsi="Times New Roman"/>
                <w:sz w:val="24"/>
                <w:szCs w:val="24"/>
              </w:rPr>
              <w:t>отодате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лем о заключении трудового или гражданско-прав</w:t>
            </w:r>
            <w:r>
              <w:rPr>
                <w:rFonts w:ascii="Times New Roman" w:hAnsi="Times New Roman"/>
                <w:sz w:val="24"/>
                <w:szCs w:val="24"/>
              </w:rPr>
              <w:t>ового договора на выполнение ра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      </w:r>
          </w:p>
          <w:p w:rsidR="0073473A" w:rsidRPr="009076B5" w:rsidRDefault="0073473A" w:rsidP="007347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Также в рамках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тий, установленных в целях противодействия коррупции и контроля за примене</w:t>
            </w:r>
            <w:r>
              <w:rPr>
                <w:rFonts w:ascii="Times New Roman" w:hAnsi="Times New Roman"/>
                <w:sz w:val="24"/>
                <w:szCs w:val="24"/>
              </w:rPr>
              <w:t>нием мер юридической ответ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ственности, в соответствии с пунктом 79 Методических рекомендаций по вопросам соблюдения ограничений, налагаемых на </w:t>
            </w:r>
            <w:r w:rsidRPr="009076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гражданина, замещавшего должность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t>(муниципальной) службы, при за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ключении им трудовог</w:t>
            </w:r>
            <w:r>
              <w:rPr>
                <w:rFonts w:ascii="Times New Roman" w:hAnsi="Times New Roman"/>
                <w:sz w:val="24"/>
                <w:szCs w:val="24"/>
              </w:rPr>
              <w:t>о или гражданско-правового дого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вора с организацией (п</w:t>
            </w:r>
            <w:r>
              <w:rPr>
                <w:rFonts w:ascii="Times New Roman" w:hAnsi="Times New Roman"/>
                <w:sz w:val="24"/>
                <w:szCs w:val="24"/>
              </w:rPr>
              <w:t>исьмо Министерства труда и соци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альной защиты Российской Федерации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12.10.2018                 № 18-0/10/В-7881) в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атуру Республики Татарстан </w:t>
            </w:r>
            <w:r w:rsidR="00820D6D">
              <w:rPr>
                <w:rFonts w:ascii="Times New Roman" w:hAnsi="Times New Roman"/>
                <w:sz w:val="24"/>
                <w:szCs w:val="24"/>
              </w:rPr>
              <w:t xml:space="preserve">направлялась 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 в отношении уволившихся госу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дарственных гражданских служащих, включенных в Перечень долж</w:t>
            </w:r>
            <w:r>
              <w:rPr>
                <w:rFonts w:ascii="Times New Roman" w:hAnsi="Times New Roman"/>
                <w:sz w:val="24"/>
                <w:szCs w:val="24"/>
              </w:rPr>
              <w:t>ностей, за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мещение которых связано с коррупционными рисками.</w:t>
            </w:r>
          </w:p>
          <w:p w:rsidR="0073473A" w:rsidRPr="009076B5" w:rsidRDefault="0073473A" w:rsidP="007347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В отчетный период</w:t>
            </w:r>
            <w:r w:rsidR="00BC7F24">
              <w:rPr>
                <w:rFonts w:ascii="Times New Roman" w:hAnsi="Times New Roman"/>
                <w:sz w:val="24"/>
                <w:szCs w:val="24"/>
              </w:rPr>
              <w:t xml:space="preserve"> в Министерство поступили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 сведе</w:t>
            </w:r>
            <w:r w:rsidR="00BC7F24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дальнейшем тру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доустройстве в отношении</w:t>
            </w:r>
            <w:r w:rsidR="00BC7F24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bookmarkStart w:id="2" w:name="_GoBack"/>
            <w:bookmarkEnd w:id="2"/>
            <w:r w:rsidRPr="009076B5">
              <w:rPr>
                <w:rFonts w:ascii="Times New Roman" w:hAnsi="Times New Roman"/>
                <w:sz w:val="24"/>
                <w:szCs w:val="24"/>
              </w:rPr>
              <w:t xml:space="preserve"> граждан, замещавших ранее должности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ственной гражданской службы Республики Татарстан в Мини</w:t>
            </w:r>
            <w:r w:rsidR="00BC7F24">
              <w:rPr>
                <w:rFonts w:ascii="Times New Roman" w:hAnsi="Times New Roman"/>
                <w:sz w:val="24"/>
                <w:szCs w:val="24"/>
              </w:rPr>
              <w:t>стерстве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0A6" w:rsidRDefault="0073473A" w:rsidP="0073473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>Значения индикаторов по мероприятию – 100%</w:t>
            </w:r>
          </w:p>
        </w:tc>
      </w:tr>
      <w:tr w:rsidR="002370A6" w:rsidTr="009863DF">
        <w:trPr>
          <w:trHeight w:val="1533"/>
        </w:trPr>
        <w:tc>
          <w:tcPr>
            <w:tcW w:w="647" w:type="dxa"/>
            <w:tcBorders>
              <w:left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5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370A6" w:rsidRDefault="00D95F6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9461" w:type="dxa"/>
            <w:tcBorders>
              <w:left w:val="single" w:sz="4" w:space="0" w:color="000000"/>
              <w:right w:val="single" w:sz="4" w:space="0" w:color="000000"/>
            </w:tcBorders>
          </w:tcPr>
          <w:p w:rsidR="009863DF" w:rsidRDefault="009863DF" w:rsidP="009863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Все государственные граж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данские служа</w:t>
            </w:r>
            <w:r>
              <w:rPr>
                <w:rFonts w:ascii="Times New Roman" w:hAnsi="Times New Roman"/>
                <w:sz w:val="24"/>
                <w:szCs w:val="24"/>
              </w:rPr>
              <w:t>щие инфор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мируются по во</w:t>
            </w:r>
            <w:r>
              <w:rPr>
                <w:rFonts w:ascii="Times New Roman" w:hAnsi="Times New Roman"/>
                <w:sz w:val="24"/>
                <w:szCs w:val="24"/>
              </w:rPr>
              <w:t>просам со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 xml:space="preserve">блюдения ограничений и запретов, а также по исполнению обязанностей, установленных в целях противодействия коррупции, в том числе в случае возникновения конфликта интересов принимаются необходимые меры по урегулированию или предотвращению такого конфликта. </w:t>
            </w:r>
            <w:r>
              <w:rPr>
                <w:rFonts w:ascii="Times New Roman" w:hAnsi="Times New Roman"/>
                <w:sz w:val="24"/>
                <w:szCs w:val="24"/>
              </w:rPr>
              <w:t>За отчётный период 2024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поступило 1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о намерении выполнять иную опла</w:t>
            </w:r>
            <w:r>
              <w:rPr>
                <w:rFonts w:ascii="Times New Roman" w:hAnsi="Times New Roman"/>
                <w:sz w:val="24"/>
                <w:szCs w:val="24"/>
              </w:rPr>
              <w:t>чиваемую работу.</w:t>
            </w:r>
          </w:p>
          <w:p w:rsidR="009863DF" w:rsidRPr="00485E03" w:rsidRDefault="009863DF" w:rsidP="009863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85E03">
              <w:rPr>
                <w:rFonts w:ascii="Times New Roman" w:hAnsi="Times New Roman"/>
                <w:sz w:val="24"/>
                <w:szCs w:val="24"/>
              </w:rPr>
              <w:t>20 августа 2024 года на</w:t>
            </w:r>
            <w:r w:rsidRPr="00485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5E03">
              <w:rPr>
                <w:rFonts w:ascii="Times New Roman" w:hAnsi="Times New Roman"/>
                <w:sz w:val="24"/>
                <w:szCs w:val="24"/>
              </w:rPr>
              <w:t>заседании Комиссии при министре культуры Республики Татарстан по противодействию коррупции и Комиссии по соблюдению требований к служебному поведению государственных гражданских служащих Министерства культуры Республики Татарстан и урегулированию конфликта интересов было рассмотрено уведомление государственного гражданского служащего об осуществлении иной оплачиваемой работы.</w:t>
            </w:r>
          </w:p>
          <w:p w:rsidR="002370A6" w:rsidRDefault="009863DF" w:rsidP="009863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9863DF" w:rsidTr="00EE0658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DF" w:rsidRDefault="009863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DF" w:rsidRDefault="009863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DF" w:rsidRDefault="009863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DF" w:rsidRDefault="009863DF" w:rsidP="009863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0A6" w:rsidRDefault="002370A6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370A6">
      <w:headerReference w:type="default" r:id="rId16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2D" w:rsidRDefault="00E97A2D">
      <w:pPr>
        <w:spacing w:after="0" w:line="240" w:lineRule="auto"/>
      </w:pPr>
      <w:r>
        <w:separator/>
      </w:r>
    </w:p>
  </w:endnote>
  <w:endnote w:type="continuationSeparator" w:id="0">
    <w:p w:rsidR="00E97A2D" w:rsidRDefault="00E9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2D" w:rsidRDefault="00E97A2D">
      <w:pPr>
        <w:spacing w:after="0" w:line="240" w:lineRule="auto"/>
      </w:pPr>
      <w:r>
        <w:separator/>
      </w:r>
    </w:p>
  </w:footnote>
  <w:footnote w:type="continuationSeparator" w:id="0">
    <w:p w:rsidR="00E97A2D" w:rsidRDefault="00E9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32" w:rsidRDefault="00E97A2D">
    <w:pPr>
      <w:pStyle w:val="afc"/>
    </w:pPr>
    <w:r>
      <w:rPr>
        <w:noProof/>
      </w:rPr>
      <w:pict>
        <v:rect id="Врезка1" o:spid="_x0000_s2049" style="position:absolute;margin-left:0;margin-top:.05pt;width:11.85pt;height:13.6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zWuQEAAFQDAAAOAAAAZHJzL2Uyb0RvYy54bWysU81q3DAQvhf6DkL3rn9omsWsNxRCSqG0&#10;gbQPoJWltUDSCElZe299hj5JL6WQp3DeKCOtu9kkt9CLPDMafzPfN6PVxWg02QkfFNiWVouSEmE5&#10;dMpuW/rj+9W7JSUhMtsxDVa0dC8CvVi/fbMaXCNq6EF3whMEsaEZXEv7GF1TFIH3wrCwACcsXkrw&#10;hkV0/bboPBsQ3eiiLssPxQC+cx64CAGjl4dLus74Ugoev0kZRCS6pdhbzKfP5yadxXrFmq1nrld8&#10;boO9ogvDlMWiR6hLFhm59eoFlFHcQwAZFxxMAVIqLjIHZFOVz9jc9MyJzAXFCe4oU/h/sPzr7toT&#10;1eHsKLHM4IimX/c/pz/T3+lu+l0lgQYXGsy7cdd+9gKaie0ovUlf5EHGLOr+KKoYI+EYrM7K90uU&#10;nuNVdV4vyyx68fiz8yF+EmBIMlrqcWZZSrb7EiIWxNR/KamWhSuldZ6btmRI9Z6EMV3bFBF5/DNG&#10;4nDoOllx3IwzlQ10e1RAf7aoan1WpyU5sf2JvTmxmeU94B4dWrXw8TaCVLndVOCAir0nB0eXWcxr&#10;lnbj1M9Zj49h/QAAAP//AwBQSwMEFAAGAAgAAAAhAPJ/akHaAAAAAwEAAA8AAABkcnMvZG93bnJl&#10;di54bWxMj0FPwkAQhe8m/ofNkHiTLTQRrN0SJfGkBy1cuA3dsa10Z5vuAtVf73CS0+TNm7z3Tb4a&#10;XadONITWs4HZNAFFXHnbcm1gu3m9X4IKEdli55kM/FCAVXF7k2Nm/Zk/6VTGWkkIhwwNNDH2mdah&#10;ashhmPqeWLwvPziMIoda2wHPEu46PU+SB+2wZWlosKd1Q9WhPDoDh7f1R0usX8qNf9+lj9vwnf4G&#10;Y+4m4/MTqEhj/D+GC76gQyFMe39kG1RnQB6Jl60Sb54uQO1lLlLQRa6v2Ys/AAAA//8DAFBLAQIt&#10;ABQABgAIAAAAIQC2gziS/gAAAOEBAAATAAAAAAAAAAAAAAAAAAAAAABbQ29udGVudF9UeXBlc10u&#10;eG1sUEsBAi0AFAAGAAgAAAAhADj9If/WAAAAlAEAAAsAAAAAAAAAAAAAAAAALwEAAF9yZWxzLy5y&#10;ZWxzUEsBAi0AFAAGAAgAAAAhAD5lPNa5AQAAVAMAAA4AAAAAAAAAAAAAAAAALgIAAGRycy9lMm9E&#10;b2MueG1sUEsBAi0AFAAGAAgAAAAhAPJ/akHaAAAAAwEAAA8AAAAAAAAAAAAAAAAAEwQAAGRycy9k&#10;b3ducmV2LnhtbFBLBQYAAAAABAAEAPMAAAAaBQAAAAA=&#10;" o:allowincell="f" filled="f" stroked="f" strokeweight="0">
          <v:textbox style="mso-next-textbox:#Врезка1" inset=".07mm,.07mm,.07mm,.07mm">
            <w:txbxContent>
              <w:p w:rsidR="003A320A" w:rsidRDefault="003A320A">
                <w:pPr>
                  <w:pStyle w:val="afc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BC7F24"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15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237"/>
    <w:multiLevelType w:val="multilevel"/>
    <w:tmpl w:val="4B3E0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D93FF1"/>
    <w:multiLevelType w:val="multilevel"/>
    <w:tmpl w:val="70BEC9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28E7392"/>
    <w:multiLevelType w:val="hybridMultilevel"/>
    <w:tmpl w:val="483EFB10"/>
    <w:lvl w:ilvl="0" w:tplc="7BAC13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0A6"/>
    <w:rsid w:val="0000619A"/>
    <w:rsid w:val="00014895"/>
    <w:rsid w:val="0003753B"/>
    <w:rsid w:val="00062FCE"/>
    <w:rsid w:val="000A2A4F"/>
    <w:rsid w:val="000E44B9"/>
    <w:rsid w:val="000F0BD3"/>
    <w:rsid w:val="0010000E"/>
    <w:rsid w:val="00112806"/>
    <w:rsid w:val="00177342"/>
    <w:rsid w:val="001D5012"/>
    <w:rsid w:val="001D5E30"/>
    <w:rsid w:val="002370A6"/>
    <w:rsid w:val="00256D02"/>
    <w:rsid w:val="00262833"/>
    <w:rsid w:val="002B6AC2"/>
    <w:rsid w:val="002D6EEB"/>
    <w:rsid w:val="002D7D9B"/>
    <w:rsid w:val="003447D3"/>
    <w:rsid w:val="0036007C"/>
    <w:rsid w:val="0036229A"/>
    <w:rsid w:val="00392701"/>
    <w:rsid w:val="003934A3"/>
    <w:rsid w:val="003A320A"/>
    <w:rsid w:val="003C5856"/>
    <w:rsid w:val="00422FD0"/>
    <w:rsid w:val="00423EDF"/>
    <w:rsid w:val="00442C32"/>
    <w:rsid w:val="0045177C"/>
    <w:rsid w:val="00482C23"/>
    <w:rsid w:val="004922F4"/>
    <w:rsid w:val="00492BE9"/>
    <w:rsid w:val="00496E44"/>
    <w:rsid w:val="004A591C"/>
    <w:rsid w:val="004D275C"/>
    <w:rsid w:val="004E3F71"/>
    <w:rsid w:val="00500DF2"/>
    <w:rsid w:val="005026F4"/>
    <w:rsid w:val="00516796"/>
    <w:rsid w:val="0054052E"/>
    <w:rsid w:val="0054212E"/>
    <w:rsid w:val="005C2A03"/>
    <w:rsid w:val="005E46D1"/>
    <w:rsid w:val="0061514C"/>
    <w:rsid w:val="00644D8B"/>
    <w:rsid w:val="00656097"/>
    <w:rsid w:val="006D4332"/>
    <w:rsid w:val="006F5325"/>
    <w:rsid w:val="00716283"/>
    <w:rsid w:val="0073473A"/>
    <w:rsid w:val="00736846"/>
    <w:rsid w:val="00755D56"/>
    <w:rsid w:val="00761C67"/>
    <w:rsid w:val="007974DF"/>
    <w:rsid w:val="007B343C"/>
    <w:rsid w:val="007B4E4A"/>
    <w:rsid w:val="007F143F"/>
    <w:rsid w:val="00820426"/>
    <w:rsid w:val="00820D6D"/>
    <w:rsid w:val="00884D14"/>
    <w:rsid w:val="00892BB3"/>
    <w:rsid w:val="008A23D4"/>
    <w:rsid w:val="008D0434"/>
    <w:rsid w:val="008E22CB"/>
    <w:rsid w:val="00910BEA"/>
    <w:rsid w:val="00944DA2"/>
    <w:rsid w:val="0095001B"/>
    <w:rsid w:val="00966FBD"/>
    <w:rsid w:val="00980A67"/>
    <w:rsid w:val="009863DF"/>
    <w:rsid w:val="009A42ED"/>
    <w:rsid w:val="00A41EA0"/>
    <w:rsid w:val="00A6284A"/>
    <w:rsid w:val="00A665D8"/>
    <w:rsid w:val="00A80ECA"/>
    <w:rsid w:val="00AA4F5D"/>
    <w:rsid w:val="00AC1518"/>
    <w:rsid w:val="00AD6C83"/>
    <w:rsid w:val="00B15B38"/>
    <w:rsid w:val="00B3327D"/>
    <w:rsid w:val="00B55A52"/>
    <w:rsid w:val="00B62FD9"/>
    <w:rsid w:val="00B668C5"/>
    <w:rsid w:val="00B95640"/>
    <w:rsid w:val="00BB25AB"/>
    <w:rsid w:val="00BB470D"/>
    <w:rsid w:val="00BB5C0F"/>
    <w:rsid w:val="00BC7F24"/>
    <w:rsid w:val="00C36F90"/>
    <w:rsid w:val="00C47AB9"/>
    <w:rsid w:val="00C63919"/>
    <w:rsid w:val="00C7666F"/>
    <w:rsid w:val="00C8024A"/>
    <w:rsid w:val="00CA400D"/>
    <w:rsid w:val="00CB1E4A"/>
    <w:rsid w:val="00CC3743"/>
    <w:rsid w:val="00CD07BF"/>
    <w:rsid w:val="00CE430C"/>
    <w:rsid w:val="00CF3777"/>
    <w:rsid w:val="00CF6A9D"/>
    <w:rsid w:val="00D15DB2"/>
    <w:rsid w:val="00D93095"/>
    <w:rsid w:val="00D95F6E"/>
    <w:rsid w:val="00DA28BD"/>
    <w:rsid w:val="00DA3956"/>
    <w:rsid w:val="00DB3077"/>
    <w:rsid w:val="00DC5D48"/>
    <w:rsid w:val="00DD0ABF"/>
    <w:rsid w:val="00DF427C"/>
    <w:rsid w:val="00E07D71"/>
    <w:rsid w:val="00E122FA"/>
    <w:rsid w:val="00E528A9"/>
    <w:rsid w:val="00E77859"/>
    <w:rsid w:val="00E97A2D"/>
    <w:rsid w:val="00EB4A51"/>
    <w:rsid w:val="00EE0658"/>
    <w:rsid w:val="00F069C3"/>
    <w:rsid w:val="00F271CA"/>
    <w:rsid w:val="00F3529C"/>
    <w:rsid w:val="00F504ED"/>
    <w:rsid w:val="00F7069A"/>
    <w:rsid w:val="00F947B6"/>
    <w:rsid w:val="00F96835"/>
    <w:rsid w:val="00FA1763"/>
    <w:rsid w:val="00FB3228"/>
    <w:rsid w:val="00FB53E4"/>
    <w:rsid w:val="00FC16DA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15</Pages>
  <Words>5074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Министерство культуры Республики Татарстан</Company>
  <LinksUpToDate>false</LinksUpToDate>
  <CharactersWithSpaces>33935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Бикметова Алия Дамировна</cp:lastModifiedBy>
  <cp:revision>119</cp:revision>
  <cp:lastPrinted>2014-07-16T15:25:00Z</cp:lastPrinted>
  <dcterms:created xsi:type="dcterms:W3CDTF">2018-09-17T11:40:00Z</dcterms:created>
  <dcterms:modified xsi:type="dcterms:W3CDTF">2024-12-23T13:07:00Z</dcterms:modified>
  <dc:language>ru-RU</dc:language>
</cp:coreProperties>
</file>