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bCs/>
          <w:sz w:val="28"/>
          <w:szCs w:val="28"/>
        </w:rPr>
        <w:t>УВЕДОМЛЕНИЕ</w:t>
        <w:br/>
      </w:r>
      <w:r>
        <w:rPr>
          <w:sz w:val="28"/>
          <w:szCs w:val="28"/>
        </w:rPr>
        <w:t>о подготовке проекта нормативного правового акт</w:t>
      </w:r>
    </w:p>
    <w:p>
      <w:pPr>
        <w:pStyle w:val="Normal"/>
        <w:rPr>
          <w:sz w:val="28"/>
          <w:szCs w:val="28"/>
        </w:rPr>
      </w:pPr>
      <w:r>
        <w:rPr>
          <w:sz w:val="28"/>
          <w:szCs w:val="28"/>
        </w:rPr>
        <w:t xml:space="preserve">     </w:t>
      </w:r>
      <w:bookmarkStart w:id="0" w:name="_GoBack"/>
      <w:bookmarkEnd w:id="0"/>
      <w:r>
        <w:rPr>
          <w:sz w:val="28"/>
          <w:szCs w:val="28"/>
        </w:rPr>
        <w:t xml:space="preserve">1. Вид нормативного правового акта: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left"/>
              <w:rPr>
                <w:sz w:val="28"/>
                <w:szCs w:val="28"/>
              </w:rPr>
            </w:pPr>
            <w:r>
              <w:rPr>
                <w:rFonts w:eastAsia=""/>
                <w:kern w:val="0"/>
                <w:sz w:val="28"/>
                <w:szCs w:val="28"/>
                <w:lang w:val="ru-RU" w:eastAsia="ru-RU" w:bidi="ar-SA"/>
              </w:rPr>
              <w:t xml:space="preserve">       </w:t>
            </w:r>
            <w:r>
              <w:rPr>
                <w:rFonts w:eastAsia=""/>
                <w:kern w:val="0"/>
                <w:sz w:val="28"/>
                <w:szCs w:val="28"/>
                <w:lang w:val="ru-RU" w:eastAsia="ru-RU" w:bidi="ar-SA"/>
              </w:rPr>
              <w:t>Проект постановления Кабинета Министров Республики Татарстан</w:t>
            </w:r>
          </w:p>
        </w:tc>
      </w:tr>
    </w:tbl>
    <w:p>
      <w:pPr>
        <w:pStyle w:val="Normal"/>
        <w:ind w:firstLine="567"/>
        <w:jc w:val="both"/>
        <w:rPr>
          <w:sz w:val="28"/>
          <w:szCs w:val="28"/>
        </w:rPr>
      </w:pPr>
      <w:r>
        <w:rPr>
          <w:sz w:val="28"/>
          <w:szCs w:val="28"/>
        </w:rPr>
        <w:t>2. Наименование проекта нормативного правового акта:</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 xml:space="preserve"> </w:t>
            </w:r>
            <w:r>
              <w:rPr>
                <w:rFonts w:eastAsia="" w:cs="Times New Roman" w:eastAsiaTheme="minorEastAsia"/>
                <w:color w:val="auto"/>
                <w:kern w:val="0"/>
                <w:sz w:val="28"/>
                <w:szCs w:val="28"/>
                <w:lang w:val="ru-RU" w:eastAsia="ru-RU" w:bidi="ar-SA"/>
              </w:rPr>
              <w:t xml:space="preserve">   </w:t>
            </w:r>
            <w:r>
              <w:rPr>
                <w:rFonts w:eastAsia="" w:cs="Times New Roman" w:eastAsiaTheme="minorEastAsia"/>
                <w:color w:val="auto"/>
                <w:kern w:val="0"/>
                <w:sz w:val="28"/>
                <w:szCs w:val="28"/>
                <w:lang w:val="ru-RU" w:eastAsia="ru-RU" w:bidi="ar-SA"/>
              </w:rPr>
              <w:t>«</w:t>
            </w:r>
            <w:r>
              <w:rPr>
                <w:rFonts w:eastAsia="" w:cs="Times New Roman" w:eastAsiaTheme="minorEastAsia"/>
                <w:color w:val="auto"/>
                <w:kern w:val="0"/>
                <w:sz w:val="28"/>
                <w:szCs w:val="28"/>
                <w:lang w:val="ru-RU" w:eastAsia="ru-RU" w:bidi="ar-SA"/>
              </w:rPr>
              <w:t>О внесении изменений в постановление Кабинета Министров Республики Татарстан от 16.04.2021 №252 «О предоставлении грантов Раиса Республики Татарстан в области культуры, искусства и кинематографии</w:t>
            </w:r>
            <w:r>
              <w:rPr>
                <w:rFonts w:eastAsia="" w:cs="Times New Roman" w:eastAsiaTheme="minorEastAsia"/>
                <w:color w:val="auto"/>
                <w:kern w:val="0"/>
                <w:sz w:val="28"/>
                <w:szCs w:val="28"/>
                <w:lang w:val="ru-RU" w:eastAsia="ru-RU" w:bidi="ar-SA"/>
              </w:rPr>
              <w:t>»</w:t>
            </w:r>
          </w:p>
        </w:tc>
      </w:tr>
    </w:tbl>
    <w:p>
      <w:pPr>
        <w:pStyle w:val="Normal"/>
        <w:ind w:firstLine="567"/>
        <w:jc w:val="both"/>
        <w:rPr>
          <w:sz w:val="28"/>
          <w:szCs w:val="28"/>
        </w:rPr>
      </w:pPr>
      <w:r>
        <w:rPr>
          <w:sz w:val="28"/>
          <w:szCs w:val="28"/>
        </w:rPr>
        <w:t>3. Планируемый срок вступления в силу нормативного правового акта:</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 xml:space="preserve">          </w:t>
            </w:r>
            <w:r>
              <w:rPr>
                <w:rFonts w:eastAsia=""/>
                <w:kern w:val="0"/>
                <w:sz w:val="28"/>
                <w:szCs w:val="28"/>
                <w:lang w:val="ru-RU" w:eastAsia="ru-RU" w:bidi="ar-SA"/>
              </w:rPr>
              <w:t>Июль 2025 года</w:t>
            </w:r>
          </w:p>
        </w:tc>
      </w:tr>
    </w:tbl>
    <w:p>
      <w:pPr>
        <w:pStyle w:val="Normal"/>
        <w:ind w:firstLine="567"/>
        <w:jc w:val="both"/>
        <w:rPr>
          <w:sz w:val="28"/>
          <w:szCs w:val="28"/>
        </w:rPr>
      </w:pPr>
      <w:r>
        <w:rPr>
          <w:sz w:val="28"/>
          <w:szCs w:val="28"/>
        </w:rPr>
        <w:t xml:space="preserve">4. Сведения о разработчике проекта нормативного правового акта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ind w:left="851" w:right="0" w:hanging="0"/>
              <w:jc w:val="both"/>
              <w:rPr>
                <w:sz w:val="28"/>
                <w:szCs w:val="28"/>
              </w:rPr>
            </w:pPr>
            <w:r>
              <w:rPr>
                <w:rFonts w:eastAsia=""/>
                <w:kern w:val="0"/>
                <w:sz w:val="28"/>
                <w:szCs w:val="28"/>
                <w:lang w:val="ru-RU" w:eastAsia="ru-RU" w:bidi="ar-SA"/>
              </w:rPr>
              <w:t>Министерство культуры Республики Татарстан</w:t>
            </w:r>
          </w:p>
        </w:tc>
      </w:tr>
    </w:tbl>
    <w:p>
      <w:pPr>
        <w:pStyle w:val="Normal"/>
        <w:ind w:firstLine="567"/>
        <w:jc w:val="both"/>
        <w:rPr>
          <w:sz w:val="28"/>
          <w:szCs w:val="28"/>
        </w:rPr>
      </w:pPr>
      <w:r>
        <w:rPr>
          <w:sz w:val="28"/>
          <w:szCs w:val="28"/>
        </w:rPr>
        <w:t xml:space="preserve">5. Обоснование необходимости подготовки проекта нормативного правового акта: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 xml:space="preserve">В связи с </w:t>
            </w:r>
            <w:r>
              <w:rPr>
                <w:rFonts w:eastAsia=""/>
                <w:kern w:val="0"/>
                <w:sz w:val="28"/>
                <w:szCs w:val="28"/>
                <w:lang w:val="ru-RU" w:eastAsia="ru-RU" w:bidi="ar-SA"/>
              </w:rPr>
              <w:t>необходимостью</w:t>
            </w:r>
            <w:r>
              <w:rPr>
                <w:rFonts w:eastAsia="Times New Roman" w:cs="Times New Roman"/>
                <w:b w:val="false"/>
                <w:bCs w:val="false"/>
                <w:i/>
                <w:color w:val="000000"/>
                <w:kern w:val="0"/>
                <w:sz w:val="24"/>
                <w:szCs w:val="24"/>
                <w:lang w:val="ru-RU" w:eastAsia="zh-CN" w:bidi="ar-SA"/>
              </w:rPr>
              <w:t xml:space="preserve"> </w:t>
            </w:r>
            <w:r>
              <w:rPr>
                <w:rFonts w:eastAsia="" w:cs="Times New Roman" w:eastAsiaTheme="minorEastAsia"/>
                <w:color w:val="auto"/>
                <w:kern w:val="0"/>
                <w:sz w:val="28"/>
                <w:szCs w:val="28"/>
                <w:lang w:val="ru-RU" w:eastAsia="ru-RU" w:bidi="ar-SA"/>
              </w:rPr>
              <w:t>приведения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 также в соответствии с решением Раиса Республики Татарстан Р.Н.Минниханова от 16.12.2024 № Т/43456-МР об увеличении ежегодной грантовой поддержки Государственного камерного хора Республики Татарстан, осуществляющего деятельность на базе государственного бюджетного учреждения культуры Республики Татарстан «Государственный Большой концертный зал имени Салиха Сайдашева», до 20 000,0 тыс.рублей (в два раза)» в части уточнения условий предоставления гранта и субсидии.</w:t>
            </w:r>
          </w:p>
        </w:tc>
      </w:tr>
    </w:tbl>
    <w:p>
      <w:pPr>
        <w:pStyle w:val="Normal"/>
        <w:ind w:firstLine="567"/>
        <w:jc w:val="both"/>
        <w:rPr>
          <w:sz w:val="28"/>
          <w:szCs w:val="28"/>
        </w:rPr>
      </w:pPr>
      <w:r>
        <w:rPr>
          <w:sz w:val="28"/>
          <w:szCs w:val="28"/>
        </w:rPr>
        <w:t xml:space="preserve">6. Описание проблемы, на решение которой направлен предлагаемый способ урегулирования: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 xml:space="preserve"> </w:t>
            </w:r>
            <w:r>
              <w:rPr>
                <w:rFonts w:eastAsia=""/>
                <w:kern w:val="0"/>
                <w:sz w:val="28"/>
                <w:szCs w:val="28"/>
                <w:lang w:val="ru-RU" w:eastAsia="ru-RU" w:bidi="ar-SA"/>
              </w:rPr>
              <w:t xml:space="preserve">Отсутствие системного подхода в части создания благоприятных условий и разработки мер поддержки для развития </w:t>
            </w:r>
            <w:r>
              <w:rPr>
                <w:rFonts w:eastAsia="" w:cs="Times New Roman" w:eastAsiaTheme="minorEastAsia"/>
                <w:color w:val="auto"/>
                <w:kern w:val="0"/>
                <w:sz w:val="28"/>
                <w:szCs w:val="28"/>
                <w:lang w:val="ru-RU" w:eastAsia="ru-RU" w:bidi="ar-SA"/>
              </w:rPr>
              <w:t>в области культуры, искусства и кинематографии</w:t>
            </w:r>
            <w:r>
              <w:rPr>
                <w:rFonts w:eastAsia=""/>
                <w:kern w:val="0"/>
                <w:sz w:val="28"/>
                <w:szCs w:val="28"/>
                <w:lang w:val="ru-RU" w:eastAsia="ru-RU" w:bidi="ar-SA"/>
              </w:rPr>
              <w:t xml:space="preserve"> Республики Татарстан.</w:t>
            </w:r>
          </w:p>
        </w:tc>
      </w:tr>
    </w:tbl>
    <w:p>
      <w:pPr>
        <w:pStyle w:val="Normal"/>
        <w:ind w:firstLine="567"/>
        <w:jc w:val="both"/>
        <w:rPr>
          <w:sz w:val="28"/>
          <w:szCs w:val="28"/>
        </w:rPr>
      </w:pPr>
      <w:r>
        <w:rPr>
          <w:sz w:val="28"/>
          <w:szCs w:val="28"/>
        </w:rPr>
        <w:t>7. Круг лиц, на которых будет распространено действие проекта нормативного правового акта:</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ind w:left="142" w:right="0" w:hanging="0"/>
              <w:jc w:val="both"/>
              <w:rPr>
                <w:rFonts w:ascii="Times New Roman" w:hAnsi="Times New Roman" w:eastAsia="" w:cs="Times New Roman" w:eastAsiaTheme="minorEastAsia"/>
                <w:color w:val="auto"/>
                <w:kern w:val="0"/>
                <w:sz w:val="28"/>
                <w:szCs w:val="28"/>
                <w:lang w:val="ru-RU" w:eastAsia="ru-RU" w:bidi="ar-SA"/>
              </w:rPr>
            </w:pPr>
            <w:r>
              <w:rPr>
                <w:rFonts w:eastAsia="" w:cs="Times New Roman" w:eastAsiaTheme="minorEastAsia"/>
                <w:color w:val="auto"/>
                <w:kern w:val="0"/>
                <w:sz w:val="28"/>
                <w:szCs w:val="28"/>
                <w:lang w:val="ru-RU" w:eastAsia="ru-RU" w:bidi="ar-SA"/>
              </w:rPr>
              <w:t xml:space="preserve"> </w:t>
            </w:r>
            <w:r>
              <w:rPr>
                <w:rFonts w:eastAsia="" w:cs="Times New Roman" w:eastAsiaTheme="minorEastAsia"/>
                <w:color w:val="auto"/>
                <w:kern w:val="0"/>
                <w:sz w:val="28"/>
                <w:szCs w:val="28"/>
                <w:lang w:val="ru-RU" w:eastAsia="ru-RU" w:bidi="ar-SA"/>
              </w:rPr>
              <w:t xml:space="preserve">Юридические лица (за исключением государственных и муниципальных учреждений), </w:t>
            </w:r>
            <w:r>
              <w:rPr>
                <w:rFonts w:eastAsia="" w:cs="Times New Roman" w:eastAsiaTheme="minorEastAsia"/>
                <w:color w:val="auto"/>
                <w:kern w:val="0"/>
                <w:sz w:val="28"/>
                <w:szCs w:val="28"/>
                <w:lang w:val="ru-RU" w:eastAsia="ru-RU" w:bidi="ar-SA"/>
              </w:rPr>
              <w:drawing>
                <wp:inline distT="0" distB="0" distL="0" distR="0">
                  <wp:extent cx="4445" cy="4445"/>
                  <wp:effectExtent l="0" t="0" r="0" b="0"/>
                  <wp:docPr id="1" name="Picture 120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077" descr=""/>
                          <pic:cNvPicPr>
                            <a:picLocks noChangeAspect="1" noChangeArrowheads="1"/>
                          </pic:cNvPicPr>
                        </pic:nvPicPr>
                        <pic:blipFill>
                          <a:blip r:embed="rId2"/>
                          <a:srcRect l="-3846" t="-3846" r="-3846" b="-3846"/>
                          <a:stretch>
                            <a:fillRect/>
                          </a:stretch>
                        </pic:blipFill>
                        <pic:spPr bwMode="auto">
                          <a:xfrm>
                            <a:off x="0" y="0"/>
                            <a:ext cx="4445" cy="4445"/>
                          </a:xfrm>
                          <a:prstGeom prst="rect">
                            <a:avLst/>
                          </a:prstGeom>
                        </pic:spPr>
                      </pic:pic>
                    </a:graphicData>
                  </a:graphic>
                </wp:inline>
              </w:drawing>
            </w:r>
            <w:r>
              <w:rPr>
                <w:rFonts w:eastAsia="" w:cs="Times New Roman" w:eastAsiaTheme="minorEastAsia"/>
                <w:color w:val="auto"/>
                <w:kern w:val="0"/>
                <w:sz w:val="28"/>
                <w:szCs w:val="28"/>
                <w:lang w:val="ru-RU" w:eastAsia="ru-RU" w:bidi="ar-SA"/>
              </w:rPr>
              <w:t>индивидуальные предприниматели, физические лица — производители товаров, работ и (или) услуг в области культуры и искусства, связанных с подготовкой, созданием, выполнением проектов в области культуры и искусства.</w:t>
            </w:r>
          </w:p>
        </w:tc>
      </w:tr>
    </w:tbl>
    <w:p>
      <w:pPr>
        <w:pStyle w:val="Normal"/>
        <w:ind w:firstLine="567"/>
        <w:jc w:val="both"/>
        <w:rPr>
          <w:sz w:val="28"/>
          <w:szCs w:val="28"/>
        </w:rPr>
      </w:pPr>
      <w:r>
        <w:rPr>
          <w:sz w:val="28"/>
          <w:szCs w:val="28"/>
        </w:rPr>
        <w:t xml:space="preserve"> </w:t>
      </w:r>
      <w:r>
        <w:rPr>
          <w:sz w:val="28"/>
          <w:szCs w:val="28"/>
        </w:rPr>
        <w:t>8. Необходимость установления переходного периода:</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Необходимость установления переходного периода отсутствует</w:t>
            </w:r>
          </w:p>
        </w:tc>
      </w:tr>
    </w:tbl>
    <w:p>
      <w:pPr>
        <w:pStyle w:val="Normal"/>
        <w:ind w:firstLine="567"/>
        <w:jc w:val="both"/>
        <w:rPr>
          <w:sz w:val="28"/>
          <w:szCs w:val="28"/>
        </w:rPr>
      </w:pPr>
      <w:r>
        <w:rPr>
          <w:sz w:val="28"/>
          <w:szCs w:val="28"/>
        </w:rPr>
        <w:t xml:space="preserve">9. Краткое изложение цели регулирования: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 xml:space="preserve">Стимулирование развития </w:t>
            </w:r>
            <w:r>
              <w:rPr>
                <w:rFonts w:eastAsia="" w:cs="Times New Roman" w:eastAsiaTheme="minorEastAsia"/>
                <w:color w:val="auto"/>
                <w:kern w:val="0"/>
                <w:sz w:val="28"/>
                <w:szCs w:val="28"/>
                <w:lang w:val="ru-RU" w:eastAsia="ru-RU" w:bidi="ar-SA"/>
              </w:rPr>
              <w:t>в области культуры, искусства и кинематографии</w:t>
            </w:r>
            <w:r>
              <w:rPr>
                <w:rFonts w:eastAsia=""/>
                <w:kern w:val="0"/>
                <w:sz w:val="28"/>
                <w:szCs w:val="28"/>
                <w:lang w:val="ru-RU" w:eastAsia="ru-RU" w:bidi="ar-SA"/>
              </w:rPr>
              <w:t xml:space="preserve"> Республики Татарстан.</w:t>
            </w:r>
          </w:p>
        </w:tc>
      </w:tr>
    </w:tbl>
    <w:p>
      <w:pPr>
        <w:pStyle w:val="Normal"/>
        <w:ind w:firstLine="567"/>
        <w:jc w:val="both"/>
        <w:rPr>
          <w:sz w:val="28"/>
          <w:szCs w:val="28"/>
        </w:rPr>
      </w:pPr>
      <w:r>
        <w:rPr>
          <w:sz w:val="28"/>
          <w:szCs w:val="28"/>
        </w:rPr>
        <w:t>10. Общая характеристика соответствующих общественных обсуждений:</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rHeight w:val="287" w:hRule="atLeast"/>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 xml:space="preserve">Развитие </w:t>
            </w:r>
            <w:r>
              <w:rPr>
                <w:rFonts w:eastAsia="" w:cs="Times New Roman" w:eastAsiaTheme="minorEastAsia"/>
                <w:color w:val="auto"/>
                <w:kern w:val="0"/>
                <w:sz w:val="28"/>
                <w:szCs w:val="28"/>
                <w:lang w:val="ru-RU" w:eastAsia="ru-RU" w:bidi="ar-SA"/>
              </w:rPr>
              <w:t>в области культуры, искусства и кинематографии</w:t>
            </w:r>
            <w:r>
              <w:rPr>
                <w:rFonts w:eastAsia=""/>
                <w:kern w:val="0"/>
                <w:sz w:val="28"/>
                <w:szCs w:val="28"/>
                <w:lang w:val="ru-RU" w:eastAsia="ru-RU" w:bidi="ar-SA"/>
              </w:rPr>
              <w:t xml:space="preserve"> Республики Татарстан</w:t>
            </w:r>
          </w:p>
        </w:tc>
      </w:tr>
    </w:tbl>
    <w:p>
      <w:pPr>
        <w:pStyle w:val="Normal"/>
        <w:ind w:firstLine="567"/>
        <w:jc w:val="both"/>
        <w:rPr>
          <w:sz w:val="28"/>
          <w:szCs w:val="28"/>
        </w:rPr>
      </w:pPr>
      <w:r>
        <w:rPr>
          <w:sz w:val="28"/>
          <w:szCs w:val="28"/>
        </w:rPr>
        <w:t xml:space="preserve">11. Срок, в течении которого разработчиком принимаются предложения: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rFonts w:ascii="Times New Roman" w:hAnsi="Times New Roman" w:eastAsia="" w:cs="Times New Roman" w:eastAsiaTheme="minorEastAsia"/>
                <w:color w:val="auto"/>
                <w:kern w:val="0"/>
                <w:sz w:val="28"/>
                <w:szCs w:val="28"/>
                <w:lang w:val="ru-RU" w:eastAsia="ru-RU" w:bidi="ar-SA"/>
              </w:rPr>
            </w:pPr>
            <w:r>
              <w:rPr>
                <w:rFonts w:eastAsia="" w:cs="Times New Roman" w:eastAsiaTheme="minorEastAsia"/>
                <w:color w:val="auto"/>
                <w:kern w:val="0"/>
                <w:sz w:val="28"/>
                <w:szCs w:val="28"/>
                <w:lang w:val="ru-RU" w:eastAsia="ru-RU" w:bidi="ar-SA"/>
              </w:rPr>
              <w:t xml:space="preserve">С 30 </w:t>
            </w:r>
            <w:r>
              <w:rPr>
                <w:rFonts w:eastAsia="" w:cs="Times New Roman" w:eastAsiaTheme="minorEastAsia"/>
                <w:color w:val="auto"/>
                <w:kern w:val="0"/>
                <w:sz w:val="28"/>
                <w:szCs w:val="28"/>
                <w:lang w:val="ru-RU" w:eastAsia="ru-RU" w:bidi="ar-SA"/>
              </w:rPr>
              <w:t xml:space="preserve">июня </w:t>
            </w:r>
            <w:r>
              <w:rPr>
                <w:rFonts w:eastAsia="" w:cs="Times New Roman" w:eastAsiaTheme="minorEastAsia"/>
                <w:color w:val="auto"/>
                <w:kern w:val="0"/>
                <w:sz w:val="28"/>
                <w:szCs w:val="28"/>
                <w:lang w:val="ru-RU" w:eastAsia="ru-RU" w:bidi="ar-SA"/>
              </w:rPr>
              <w:t xml:space="preserve">2025 года по </w:t>
            </w:r>
            <w:r>
              <w:rPr>
                <w:rFonts w:eastAsia="" w:cs="Times New Roman" w:eastAsiaTheme="minorEastAsia"/>
                <w:color w:val="auto"/>
                <w:kern w:val="0"/>
                <w:sz w:val="28"/>
                <w:szCs w:val="28"/>
                <w:lang w:val="ru-RU" w:eastAsia="ru-RU" w:bidi="ar-SA"/>
              </w:rPr>
              <w:t>1</w:t>
            </w:r>
            <w:r>
              <w:rPr>
                <w:rFonts w:eastAsia="" w:cs="Times New Roman" w:eastAsiaTheme="minorEastAsia"/>
                <w:color w:val="auto"/>
                <w:kern w:val="0"/>
                <w:sz w:val="28"/>
                <w:szCs w:val="28"/>
                <w:lang w:val="ru-RU" w:eastAsia="ru-RU" w:bidi="ar-SA"/>
              </w:rPr>
              <w:t>4 июля 2025 года</w:t>
            </w:r>
          </w:p>
        </w:tc>
      </w:tr>
    </w:tbl>
    <w:p>
      <w:pPr>
        <w:pStyle w:val="Normal"/>
        <w:ind w:firstLine="567"/>
        <w:jc w:val="both"/>
        <w:rPr>
          <w:sz w:val="28"/>
          <w:szCs w:val="28"/>
        </w:rPr>
      </w:pPr>
      <w:r>
        <w:rPr>
          <w:sz w:val="28"/>
          <w:szCs w:val="28"/>
        </w:rPr>
        <w:t xml:space="preserve">12. Контактные данные для направления предложений: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 xml:space="preserve"> </w:t>
            </w:r>
            <w:r>
              <w:rPr>
                <w:rFonts w:eastAsia=""/>
                <w:kern w:val="0"/>
                <w:sz w:val="28"/>
                <w:szCs w:val="28"/>
                <w:lang w:val="en-US" w:eastAsia="ru-RU" w:bidi="ar-SA"/>
              </w:rPr>
              <w:t>E</w:t>
            </w:r>
            <w:r>
              <w:rPr>
                <w:rFonts w:eastAsia=""/>
                <w:kern w:val="0"/>
                <w:sz w:val="28"/>
                <w:szCs w:val="28"/>
                <w:lang w:val="ru-RU" w:eastAsia="ru-RU" w:bidi="ar-SA"/>
              </w:rPr>
              <w:t xml:space="preserve"> –</w:t>
            </w:r>
            <w:r>
              <w:rPr>
                <w:rFonts w:eastAsia=""/>
                <w:kern w:val="0"/>
                <w:sz w:val="28"/>
                <w:szCs w:val="28"/>
                <w:lang w:val="en-US" w:eastAsia="ru-RU" w:bidi="ar-SA"/>
              </w:rPr>
              <w:t>mail</w:t>
            </w:r>
            <w:r>
              <w:rPr>
                <w:rFonts w:eastAsia=""/>
                <w:kern w:val="0"/>
                <w:sz w:val="28"/>
                <w:szCs w:val="28"/>
                <w:lang w:val="ru-RU" w:eastAsia="ru-RU" w:bidi="ar-SA"/>
              </w:rPr>
              <w:t>:</w:t>
            </w:r>
            <w:r>
              <w:rPr>
                <w:rFonts w:eastAsia="Calibri" w:cs="Times New Roman"/>
                <w:i/>
                <w:kern w:val="0"/>
                <w:sz w:val="28"/>
                <w:szCs w:val="28"/>
                <w:lang w:val="en-US" w:eastAsia="ru-RU" w:bidi="ar-SA"/>
              </w:rPr>
              <w:t>Aygul.Hamadiyarova@tatar.ru</w:t>
            </w:r>
            <w:r>
              <w:rPr>
                <w:rFonts w:eastAsia=""/>
                <w:kern w:val="0"/>
                <w:sz w:val="28"/>
                <w:szCs w:val="28"/>
                <w:lang w:val="ru-RU" w:eastAsia="ru-RU" w:bidi="ar-SA"/>
              </w:rPr>
              <w:t>, тел. 264-75-10</w:t>
            </w:r>
          </w:p>
        </w:tc>
      </w:tr>
    </w:tbl>
    <w:p>
      <w:pPr>
        <w:pStyle w:val="Normal"/>
        <w:ind w:firstLine="567"/>
        <w:jc w:val="both"/>
        <w:rPr>
          <w:sz w:val="28"/>
          <w:szCs w:val="28"/>
        </w:rPr>
      </w:pPr>
      <w:r>
        <w:rPr>
          <w:sz w:val="28"/>
          <w:szCs w:val="28"/>
        </w:rPr>
        <w:t xml:space="preserve">13. Иная информация по решению разработчика, относящаяся к сведениям о подготовке проекта нормативного правового акта: </w:t>
      </w:r>
    </w:p>
    <w:tbl>
      <w:tblPr>
        <w:tblStyle w:val="ae"/>
        <w:tblW w:w="9178" w:type="dxa"/>
        <w:jc w:val="left"/>
        <w:tblInd w:w="959" w:type="dxa"/>
        <w:tblLayout w:type="fixed"/>
        <w:tblCellMar>
          <w:top w:w="0" w:type="dxa"/>
          <w:left w:w="108" w:type="dxa"/>
          <w:bottom w:w="0" w:type="dxa"/>
          <w:right w:w="108" w:type="dxa"/>
        </w:tblCellMar>
        <w:tblLook w:val="04a0" w:noHBand="0" w:noVBand="1" w:firstColumn="1" w:lastRow="0" w:lastColumn="0" w:firstRow="1"/>
      </w:tblPr>
      <w:tblGrid>
        <w:gridCol w:w="9178"/>
      </w:tblGrid>
      <w:tr>
        <w:trPr/>
        <w:tc>
          <w:tcPr>
            <w:tcW w:w="9178" w:type="dxa"/>
            <w:tcBorders/>
          </w:tcPr>
          <w:p>
            <w:pPr>
              <w:pStyle w:val="Normal"/>
              <w:widowControl w:val="false"/>
              <w:spacing w:before="0" w:after="0"/>
              <w:jc w:val="both"/>
              <w:rPr>
                <w:sz w:val="28"/>
                <w:szCs w:val="28"/>
              </w:rPr>
            </w:pPr>
            <w:r>
              <w:rPr>
                <w:rFonts w:eastAsia=""/>
                <w:kern w:val="0"/>
                <w:sz w:val="28"/>
                <w:szCs w:val="28"/>
                <w:lang w:val="ru-RU" w:eastAsia="ru-RU" w:bidi="ar-SA"/>
              </w:rPr>
              <w:t>Отсутствует</w:t>
            </w:r>
          </w:p>
        </w:tc>
      </w:tr>
    </w:tbl>
    <w:p>
      <w:pPr>
        <w:pStyle w:val="Normal"/>
        <w:rPr>
          <w:sz w:val="28"/>
          <w:szCs w:val="28"/>
        </w:rPr>
      </w:pPr>
      <w:r>
        <w:rPr>
          <w:sz w:val="28"/>
          <w:szCs w:val="28"/>
        </w:rPr>
      </w:r>
    </w:p>
    <w:sectPr>
      <w:type w:val="nextPage"/>
      <w:pgSz w:w="11906" w:h="16838"/>
      <w:pgMar w:left="1134" w:right="851" w:gutter="0" w:header="0" w:top="851"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embedSystemFonts/>
  <w:defaultTabStop w:val="720"/>
  <w:autoHyphenation w:val="true"/>
  <w:doNotHyphenateCap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40" w:before="0" w:after="0"/>
      <w:jc w:val="left"/>
    </w:pPr>
    <w:rPr>
      <w:rFonts w:ascii="Times New Roman" w:hAnsi="Times New Roman" w:eastAsia="" w:cs="Times New Roman" w:eastAsiaTheme="minorEastAsia"/>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Pr>
      <w:rFonts w:ascii="Times New Roman" w:hAnsi="Times New Roman" w:cs="Times New Roman"/>
      <w:sz w:val="20"/>
      <w:szCs w:val="20"/>
    </w:rPr>
  </w:style>
  <w:style w:type="character" w:styleId="Style15" w:customStyle="1">
    <w:name w:val="Нижний колонтитул Знак"/>
    <w:basedOn w:val="DefaultParagraphFont"/>
    <w:uiPriority w:val="99"/>
    <w:semiHidden/>
    <w:qFormat/>
    <w:rPr>
      <w:rFonts w:ascii="Times New Roman" w:hAnsi="Times New Roman" w:cs="Times New Roman"/>
      <w:sz w:val="20"/>
      <w:szCs w:val="20"/>
    </w:rPr>
  </w:style>
  <w:style w:type="character" w:styleId="Style16" w:customStyle="1">
    <w:name w:val="Текст сноски Знак"/>
    <w:basedOn w:val="DefaultParagraphFont"/>
    <w:uiPriority w:val="99"/>
    <w:semiHidden/>
    <w:qFormat/>
    <w:rPr>
      <w:rFonts w:ascii="Times New Roman" w:hAnsi="Times New Roman" w:cs="Times New Roman"/>
      <w:sz w:val="20"/>
      <w:szCs w:val="20"/>
    </w:rPr>
  </w:style>
  <w:style w:type="character" w:styleId="Style17">
    <w:name w:val="Символ сноски"/>
    <w:uiPriority w:val="99"/>
    <w:qFormat/>
    <w:rPr>
      <w:vertAlign w:val="superscript"/>
    </w:rPr>
  </w:style>
  <w:style w:type="character" w:styleId="Style18">
    <w:name w:val="Footnote Reference"/>
    <w:rPr>
      <w:vertAlign w:val="superscript"/>
    </w:rPr>
  </w:style>
  <w:style w:type="character" w:styleId="Style19" w:customStyle="1">
    <w:name w:val="Текст концевой сноски Знак"/>
    <w:basedOn w:val="DefaultParagraphFont"/>
    <w:uiPriority w:val="99"/>
    <w:semiHidden/>
    <w:qFormat/>
    <w:rPr>
      <w:rFonts w:ascii="Times New Roman" w:hAnsi="Times New Roman" w:cs="Times New Roman"/>
      <w:sz w:val="20"/>
      <w:szCs w:val="20"/>
    </w:rPr>
  </w:style>
  <w:style w:type="character" w:styleId="Style20">
    <w:name w:val="Символ концевой сноски"/>
    <w:uiPriority w:val="99"/>
    <w:qFormat/>
    <w:rPr>
      <w:vertAlign w:val="superscript"/>
    </w:rPr>
  </w:style>
  <w:style w:type="character" w:styleId="Style21">
    <w:name w:val="Endnote Reference"/>
    <w:rPr>
      <w:vertAlign w:val="superscript"/>
    </w:rPr>
  </w:style>
  <w:style w:type="character" w:styleId="Apple-converted-space" w:customStyle="1">
    <w:name w:val="apple-converted-space"/>
    <w:basedOn w:val="DefaultParagraphFont"/>
    <w:qFormat/>
    <w:rsid w:val="00a75d56"/>
    <w:rPr/>
  </w:style>
  <w:style w:type="character" w:styleId="-">
    <w:name w:val="Hyperlink"/>
    <w:basedOn w:val="DefaultParagraphFont"/>
    <w:uiPriority w:val="99"/>
    <w:unhideWhenUsed/>
    <w:rsid w:val="00a75d56"/>
    <w:rPr>
      <w:color w:val="0000FF"/>
      <w:u w:val="single"/>
    </w:rPr>
  </w:style>
  <w:style w:type="character" w:styleId="CharStyle3" w:customStyle="1">
    <w:name w:val="Char Style 3"/>
    <w:basedOn w:val="DefaultParagraphFont"/>
    <w:link w:val="Style210"/>
    <w:uiPriority w:val="99"/>
    <w:qFormat/>
    <w:locked/>
    <w:rsid w:val="00df53de"/>
    <w:rPr>
      <w:shd w:fill="FFFFFF" w:val="clear"/>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Style27">
    <w:name w:val="Колонтитул"/>
    <w:basedOn w:val="Normal"/>
    <w:qFormat/>
    <w:pPr/>
    <w:rPr/>
  </w:style>
  <w:style w:type="paragraph" w:styleId="Style28">
    <w:name w:val="Header"/>
    <w:basedOn w:val="Normal"/>
    <w:link w:val="Style14"/>
    <w:uiPriority w:val="99"/>
    <w:pPr>
      <w:tabs>
        <w:tab w:val="clear" w:pos="720"/>
        <w:tab w:val="center" w:pos="4153" w:leader="none"/>
        <w:tab w:val="right" w:pos="8306" w:leader="none"/>
      </w:tabs>
    </w:pPr>
    <w:rPr/>
  </w:style>
  <w:style w:type="paragraph" w:styleId="Style29">
    <w:name w:val="Footer"/>
    <w:basedOn w:val="Normal"/>
    <w:link w:val="Style15"/>
    <w:uiPriority w:val="99"/>
    <w:pPr>
      <w:tabs>
        <w:tab w:val="clear" w:pos="720"/>
        <w:tab w:val="center" w:pos="4153" w:leader="none"/>
        <w:tab w:val="right" w:pos="8306" w:leader="none"/>
      </w:tabs>
    </w:pPr>
    <w:rPr/>
  </w:style>
  <w:style w:type="paragraph" w:styleId="Style30">
    <w:name w:val="Footnote Text"/>
    <w:basedOn w:val="Normal"/>
    <w:link w:val="Style16"/>
    <w:uiPriority w:val="99"/>
    <w:pPr/>
    <w:rPr/>
  </w:style>
  <w:style w:type="paragraph" w:styleId="Style31">
    <w:name w:val="Endnote Text"/>
    <w:basedOn w:val="Normal"/>
    <w:link w:val="Style19"/>
    <w:uiPriority w:val="99"/>
    <w:pPr/>
    <w:rPr/>
  </w:style>
  <w:style w:type="paragraph" w:styleId="Style210" w:customStyle="1">
    <w:name w:val="Style 2"/>
    <w:basedOn w:val="Normal"/>
    <w:link w:val="CharStyle3"/>
    <w:uiPriority w:val="99"/>
    <w:qFormat/>
    <w:rsid w:val="00df53de"/>
    <w:pPr>
      <w:widowControl w:val="false"/>
      <w:shd w:val="clear" w:color="auto" w:fill="FFFFFF"/>
      <w:spacing w:lineRule="exact" w:line="326" w:before="0" w:after="540"/>
      <w:ind w:hanging="280"/>
      <w:jc w:val="both"/>
    </w:pPr>
    <w:rPr>
      <w:rFonts w:ascii="Calibri" w:hAnsi="Calibri" w:cs="" w:asciiTheme="minorHAnsi" w:cstheme="minorBidi" w:hAnsiTheme="minorHAnsi"/>
      <w:sz w:val="22"/>
      <w:szCs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0963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23BE-7AEA-490F-859B-BFCDEA9D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LibreOffice/7.5.6.2$Linux_X86_64 LibreOffice_project/50$Build-2</Application>
  <AppVersion>15.0000</AppVersion>
  <Pages>2</Pages>
  <Words>367</Words>
  <Characters>2714</Characters>
  <CharactersWithSpaces>3094</CharactersWithSpaces>
  <Paragraphs>27</Paragraphs>
  <Company>КонсультантПлюс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2025-06-20T17:55:00Z</dcterms:created>
  <dc:creator>КонсультантПлюс</dc:creator>
  <dc:description/>
  <dc:language>ru-RU</dc:language>
  <cp:lastModifiedBy/>
  <cp:lastPrinted>2014-04-28T13:58:00Z</cp:lastPrinted>
  <dcterms:modified xsi:type="dcterms:W3CDTF">2025-06-30T16:41:47Z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