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Пояснительная записка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 проекту постановления Кабинета Министров Республики Татарстан</w:t>
      </w:r>
    </w:p>
    <w:p>
      <w:pPr>
        <w:pStyle w:val="Normal"/>
        <w:spacing w:lineRule="auto" w:line="240" w:before="0" w:after="0"/>
        <w:ind w:firstLine="709"/>
        <w:jc w:val="center"/>
        <w:rPr>
          <w:rFonts w:ascii="Times New Roman" w:hAnsi="Times New Roman" w:eastAsia="Calibri" w:cs="Times New Roman" w:eastAsiaTheme="minorHAnsi"/>
          <w:color w:val="auto"/>
          <w:kern w:val="0"/>
          <w:sz w:val="28"/>
          <w:szCs w:val="28"/>
          <w:lang w:val="ru-RU" w:eastAsia="en-US" w:bidi="ar-SA"/>
        </w:rPr>
      </w:pPr>
      <w:r>
        <w:rPr>
          <w:rFonts w:eastAsia="Calibri" w:cs="Times New Roman" w:eastAsiaTheme="minorHAnsi" w:ascii="Times New Roman" w:hAnsi="Times New Roman"/>
          <w:color w:val="auto"/>
          <w:kern w:val="0"/>
          <w:sz w:val="28"/>
          <w:szCs w:val="28"/>
          <w:lang w:val="ru-RU" w:eastAsia="en-US" w:bidi="ar-SA"/>
        </w:rPr>
        <w:t>«Об утверждении  Порядка подтверждения соответствия физических лиц, юридических лиц и индивидуальных предпринимателей критериям отнесения к субъектам креативных (творческих) индустрий в Республике Татарстан, Критериев отнесения физических лиц, юридических лиц и индивидуальных предпринимателей к субъектам креативных (творческих) индустрий в Республике Татарстан и Порядка формирования и ведения реестра субъектов креативных (творческих)  индустрий, осуществляющих деятельность в Республике Татарстан»</w:t>
      </w:r>
    </w:p>
    <w:p>
      <w:pPr>
        <w:pStyle w:val="Normal"/>
        <w:spacing w:lineRule="auto" w:line="240" w:before="0" w:after="0"/>
        <w:ind w:firstLine="709"/>
        <w:jc w:val="center"/>
        <w:rPr>
          <w:rFonts w:ascii="Times New Roman" w:hAnsi="Times New Roman" w:eastAsia="Calibri" w:cs="Times New Roman" w:eastAsiaTheme="minorHAnsi"/>
          <w:color w:val="auto"/>
          <w:kern w:val="0"/>
          <w:sz w:val="28"/>
          <w:szCs w:val="28"/>
          <w:lang w:val="ru-RU" w:eastAsia="en-US" w:bidi="ar-SA"/>
        </w:rPr>
      </w:pPr>
      <w:r>
        <w:rPr>
          <w:rFonts w:eastAsia="Calibri" w:cs="Times New Roman" w:eastAsiaTheme="minorHAnsi" w:ascii="Times New Roman" w:hAnsi="Times New Roman"/>
          <w:color w:val="auto"/>
          <w:kern w:val="0"/>
          <w:sz w:val="28"/>
          <w:szCs w:val="28"/>
          <w:lang w:val="ru-RU" w:eastAsia="en-US" w:bidi="ar-SA"/>
        </w:rPr>
      </w:r>
    </w:p>
    <w:p>
      <w:pPr>
        <w:pStyle w:val="Normal"/>
        <w:spacing w:lineRule="auto" w:line="240" w:before="0" w:after="0"/>
        <w:jc w:val="both"/>
        <w:rPr/>
      </w:pPr>
      <w:r>
        <w:rPr>
          <w:rFonts w:eastAsia="Calibri" w:cs="Times New Roman" w:ascii="Times New Roman" w:hAnsi="Times New Roman" w:eastAsiaTheme="minorHAnsi"/>
          <w:color w:val="auto"/>
          <w:kern w:val="0"/>
          <w:sz w:val="28"/>
          <w:szCs w:val="28"/>
          <w:lang w:val="ru-RU" w:eastAsia="en-US" w:bidi="ar-SA"/>
        </w:rPr>
        <w:tab/>
        <w:t xml:space="preserve">Проект постановления Кабинета Министров Республики Татарстан </w:t>
        <w:br/>
        <w:t>«Об утверждении  Порядка подтверждения соответствия физических лиц, юридических лиц и индивидуальных предпринимателей критериям отнесения к субъектам креативных (творческих) индустрий в Республике Татарстан, Критериев отнесения физических лиц, юридических лиц и индивидуальных предпринимателей к субъектам креативных (творческих) индустрий в Республике Татарстан и Порядка формирования и ведения реестра субъектов креативных (творческих)  индустрий, осуществляющих деятельность в Республике Татарстан»  подготовлен во исполнение пункта 2 статьи 4 Закона Республики Т</w:t>
      </w:r>
      <w:r>
        <w:rPr>
          <w:rFonts w:cs="Times New Roman" w:ascii="Times New Roman" w:hAnsi="Times New Roman"/>
          <w:sz w:val="28"/>
          <w:szCs w:val="28"/>
        </w:rPr>
        <w:t>атарстан от 18.04.2025 № 32 - ЗРТ «О развитии креативных (творческих) индустрий в Республике Татарстан» . Проектом утверждаются:</w:t>
      </w:r>
    </w:p>
    <w:p>
      <w:pPr>
        <w:pStyle w:val="Normal"/>
        <w:widowControl w:val="false"/>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Порядок подтверждения соответствия физических лиц, юридических лиц и индивидуальных предпринимателей критериям отнесения к субъектам креативных (творческих) индустрий в Республике Татарстан;</w:t>
      </w:r>
    </w:p>
    <w:p>
      <w:pPr>
        <w:pStyle w:val="Normal"/>
        <w:widowControl w:val="false"/>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Порядок формирования и ведения реестра субъектов креативных (творческих) индустрий, осуществляющих деятельность в Республике Татарстан, в том числе порядка включения в указанный реестр и исключения из него сведений о субъектах креативных индустрий.</w:t>
      </w:r>
    </w:p>
    <w:p>
      <w:pPr>
        <w:pStyle w:val="Normal"/>
        <w:widowControl w:val="false"/>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Формирование и ведение реестра субъектов креативных (творческих) индустрий, осуществляющих деятельность в Республике Татарстан может осуществляться региональным оператором из числа государственных учреждений культуры Республики Татарстан, реализующих полномочия в сфере креативных индустрий. </w:t>
      </w:r>
    </w:p>
    <w:p>
      <w:pPr>
        <w:pStyle w:val="Style19"/>
        <w:spacing w:lineRule="auto" w:line="240" w:before="0" w:after="0"/>
        <w:jc w:val="both"/>
        <w:rPr/>
      </w:pPr>
      <w:r>
        <w:rPr>
          <w:rFonts w:cs="Times New Roman" w:ascii="Times New Roman" w:hAnsi="Times New Roman"/>
          <w:color w:val="000000"/>
          <w:sz w:val="28"/>
          <w:szCs w:val="28"/>
        </w:rPr>
        <w:tab/>
        <w:t>Представление сведений о субъектах креативных (творческих) индустрий,</w:t>
      </w:r>
      <w:r>
        <w:rPr/>
        <w:t xml:space="preserve"> </w:t>
      </w:r>
      <w:r>
        <w:rPr>
          <w:rFonts w:cs="Times New Roman" w:ascii="Times New Roman" w:hAnsi="Times New Roman"/>
          <w:color w:val="000000"/>
          <w:sz w:val="28"/>
          <w:szCs w:val="28"/>
        </w:rPr>
        <w:t xml:space="preserve">осуществляющих деятельность в Республике Татарстан, осуществляется Министерством культуры Республики Татарстан  в электронном виде </w:t>
      </w:r>
      <w:r>
        <w:rPr>
          <w:rStyle w:val="-"/>
          <w:rFonts w:cs="Times New Roman" w:ascii="Times New Roman" w:hAnsi="Times New Roman"/>
          <w:bCs/>
          <w:color w:val="000000"/>
          <w:sz w:val="28"/>
          <w:szCs w:val="28"/>
          <w:u w:val="none"/>
        </w:rPr>
        <w:t xml:space="preserve">утвержденном постановлением Правительства Российской Федерации от 8 мая 2025 года № 617 «О порядке формирования и ведения единого  реестра  субъектов  креативных (творческих) индустрий и порядке предоставления сведений субъектами креативных (творческих) индустрий, получившими  финансовую  и  (или)  имущественную поддержку в сфере креативных (творческих) индустрий», сведения о субъектах креативных (творческих) индустрий, содержащиеся в едином реестре, будут размещаться в информационно-телекоммуникационной сети «Интернет» в государственной информационной системе «Экономика» </w:t>
      </w:r>
    </w:p>
    <w:p>
      <w:pPr>
        <w:pStyle w:val="Style19"/>
        <w:spacing w:lineRule="auto" w:line="240" w:before="0" w:after="0"/>
        <w:jc w:val="both"/>
        <w:rPr>
          <w:rStyle w:val="-"/>
          <w:rFonts w:ascii="Times New Roman" w:hAnsi="Times New Roman" w:cs="Times New Roman"/>
          <w:bCs/>
          <w:color w:val="000000"/>
          <w:sz w:val="28"/>
          <w:szCs w:val="28"/>
          <w:u w:val="none"/>
        </w:rPr>
      </w:pPr>
      <w:r>
        <w:rPr>
          <w:rStyle w:val="-"/>
          <w:rFonts w:cs="Times New Roman" w:ascii="Times New Roman" w:hAnsi="Times New Roman"/>
          <w:bCs/>
          <w:color w:val="000000"/>
          <w:sz w:val="28"/>
          <w:szCs w:val="28"/>
          <w:u w:val="none"/>
        </w:rPr>
        <w:tab/>
        <w:t>До ввода в эксплуатацию соответствующих компонентов и модулей информационной системы формирование и ведение единого реестра осуществляются Министерством экономического развития Российской Федерации на основании сведений о субъектах креативных индустрий, представленных органами государственной власти субъектов Российской Федерации в Министерство экономического развития Российской Федерации в форме электронных документов, подписанных с использованием усиленной квалифицированной электронной подписи.</w:t>
      </w:r>
    </w:p>
    <w:p>
      <w:pPr>
        <w:pStyle w:val="Headertext"/>
        <w:shd w:val="clear" w:color="auto" w:fill="FFFFFF"/>
        <w:spacing w:beforeAutospacing="0" w:before="0" w:afterAutospacing="0" w:after="0"/>
        <w:ind w:firstLine="708"/>
        <w:jc w:val="both"/>
        <w:textAlignment w:val="baseline"/>
        <w:rPr>
          <w:rStyle w:val="-"/>
          <w:bCs/>
          <w:color w:val="auto"/>
          <w:sz w:val="28"/>
          <w:szCs w:val="28"/>
          <w:u w:val="none"/>
        </w:rPr>
      </w:pPr>
      <w:r>
        <w:rPr>
          <w:rStyle w:val="-"/>
          <w:bCs/>
          <w:color w:val="auto"/>
          <w:sz w:val="28"/>
          <w:szCs w:val="28"/>
          <w:u w:val="none"/>
        </w:rPr>
        <w:t>Проект прошел независимую антикоррупционную экспертизу, заключения по результатам независимой антикоррупционной экспертизы Проекта разработчику не поступали.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Принятие Проекта не потребует выделения дополнительных средств из бюджета Республики Татарстан.</w:t>
      </w:r>
      <w:r>
        <w:rPr>
          <w:sz w:val="28"/>
          <w:szCs w:val="28"/>
        </w:rPr>
        <w:t xml:space="preserve"> </w:t>
      </w:r>
      <w:r>
        <w:rPr>
          <w:rFonts w:cs="Times New Roman" w:ascii="Times New Roman" w:hAnsi="Times New Roman"/>
          <w:sz w:val="28"/>
          <w:szCs w:val="28"/>
        </w:rPr>
        <w:t>В случае если формирование и ведение реестра субъектов креативных (творческих) индустрий, осуществляющих деятельность в Республике Татарстан  будет осуществляться региональным оператором из числа государственных учреждений культуры Республики Татарстан, реализующих полномочия в сфере креативных индустрий, указанная работа будет осуществляться в пределах бюджетных средств, выделенных учреждению для выполнения государственного задания.</w:t>
      </w:r>
      <w:bookmarkStart w:id="0" w:name="_GoBack"/>
      <w:bookmarkEnd w:id="0"/>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134"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alibri Light">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rPr>
      <w:color w:val="0000FF"/>
      <w:u w:val="single"/>
    </w:rPr>
  </w:style>
  <w:style w:type="character" w:styleId="2">
    <w:name w:val="Заголовок 2 Знак"/>
    <w:qFormat/>
    <w:rPr>
      <w:rFonts w:ascii="Cambria" w:hAnsi="Cambria" w:eastAsia="Times New Roman" w:cs="Times New Roman"/>
      <w:b/>
      <w:bCs/>
      <w:i/>
      <w:iCs/>
      <w:sz w:val="28"/>
      <w:szCs w:val="28"/>
    </w:rPr>
  </w:style>
  <w:style w:type="character" w:styleId="1">
    <w:name w:val="Заголовок 1 Знак"/>
    <w:qFormat/>
    <w:rPr>
      <w:rFonts w:ascii="Calibri Light" w:hAnsi="Calibri Light" w:eastAsia="Times New Roman" w:cs="Times New Roman"/>
      <w:b/>
      <w:bCs/>
      <w:kern w:val="2"/>
      <w:sz w:val="32"/>
      <w:szCs w:val="32"/>
    </w:rPr>
  </w:style>
  <w:style w:type="character" w:styleId="Apple-converted-space">
    <w:name w:val="apple-converted-space"/>
    <w:qFormat/>
    <w:rPr/>
  </w:style>
  <w:style w:type="character" w:styleId="11">
    <w:name w:val="Стиль1 Знак"/>
    <w:qFormat/>
    <w:rPr>
      <w:sz w:val="28"/>
    </w:rPr>
  </w:style>
  <w:style w:type="character" w:styleId="Style14">
    <w:name w:val="Текст выноски Знак"/>
    <w:qFormat/>
    <w:rPr>
      <w:rFonts w:ascii="Tahoma" w:hAnsi="Tahoma" w:cs="Tahoma"/>
      <w:sz w:val="16"/>
      <w:szCs w:val="16"/>
    </w:rPr>
  </w:style>
  <w:style w:type="character" w:styleId="Style15">
    <w:name w:val="Нижний колонтитул Знак"/>
    <w:qFormat/>
    <w:rPr>
      <w:rFonts w:cs="Times New Roman"/>
    </w:rPr>
  </w:style>
  <w:style w:type="character" w:styleId="Style16">
    <w:name w:val="Верхний колонтитул Знак"/>
    <w:qFormat/>
    <w:rPr>
      <w:rFonts w:cs="Times New Roman"/>
      <w:sz w:val="20"/>
      <w:szCs w:val="20"/>
    </w:rPr>
  </w:style>
  <w:style w:type="character" w:styleId="3">
    <w:name w:val="Заголовок 3 Знак"/>
    <w:qFormat/>
    <w:rPr>
      <w:rFonts w:ascii="Arial" w:hAnsi="Arial" w:cs="Arial"/>
      <w:color w:val="5185B4"/>
      <w:spacing w:val="-15"/>
      <w:sz w:val="27"/>
      <w:szCs w:val="27"/>
    </w:rPr>
  </w:style>
  <w:style w:type="character" w:styleId="12">
    <w:name w:val="Основной шрифт абзаца1"/>
    <w:qFormat/>
    <w:rPr/>
  </w:style>
  <w:style w:type="character" w:styleId="WW8Num7z0">
    <w:name w:val="WW8Num7z0"/>
    <w:qFormat/>
    <w:rPr/>
  </w:style>
  <w:style w:type="character" w:styleId="WW8Num6z0">
    <w:name w:val="WW8Num6z0"/>
    <w:qFormat/>
    <w:rPr/>
  </w:style>
  <w:style w:type="character" w:styleId="21">
    <w:name w:val="Основной шрифт абзаца2"/>
    <w:qFormat/>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next w:val="Style19"/>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Headertext" w:customStyle="1">
    <w:name w:val="headertext"/>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spacing w:before="0" w:after="0"/>
      <w:jc w:val="left"/>
    </w:pPr>
    <w:rPr>
      <w:rFonts w:ascii="Arial" w:hAnsi="Arial" w:eastAsia="Calibri" w:cs="Arial"/>
      <w:color w:val="auto"/>
      <w:kern w:val="2"/>
      <w:sz w:val="20"/>
      <w:szCs w:val="20"/>
      <w:lang w:val="ru-RU" w:eastAsia="zh-CN" w:bidi="ar-SA"/>
    </w:rPr>
  </w:style>
  <w:style w:type="paragraph" w:styleId="13">
    <w:name w:val="Стиль1"/>
    <w:basedOn w:val="Normal"/>
    <w:qFormat/>
    <w:pPr>
      <w:spacing w:lineRule="auto" w:line="288"/>
      <w:textAlignment w:val="auto"/>
    </w:pPr>
    <w:rPr>
      <w:sz w:val="28"/>
    </w:rPr>
  </w:style>
  <w:style w:type="paragraph"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before="280" w:after="280"/>
      <w:textAlignment w:val="auto"/>
    </w:pPr>
    <w:rPr>
      <w:rFonts w:ascii="Tahoma" w:hAnsi="Tahoma" w:cs="Tahoma"/>
      <w:lang w:val="en-US"/>
    </w:rPr>
  </w:style>
  <w:style w:type="paragraph" w:styleId="Style24">
    <w:name w:val="Текст выноски"/>
    <w:basedOn w:val="Normal"/>
    <w:qFormat/>
    <w:pPr/>
    <w:rPr>
      <w:rFonts w:ascii="Tahoma" w:hAnsi="Tahoma" w:cs="Tahoma"/>
      <w:sz w:val="16"/>
      <w:szCs w:val="16"/>
    </w:rPr>
  </w:style>
  <w:style w:type="paragraph" w:styleId="15">
    <w:name w:val="Указатель1"/>
    <w:basedOn w:val="Normal"/>
    <w:qFormat/>
    <w:pPr/>
    <w:rPr/>
  </w:style>
  <w:style w:type="paragraph" w:styleId="16">
    <w:name w:val="Название объекта1"/>
    <w:basedOn w:val="Normal"/>
    <w:qFormat/>
    <w:pPr>
      <w:spacing w:before="120" w:after="120"/>
    </w:pPr>
    <w:rPr>
      <w:i/>
      <w:iCs/>
    </w:rPr>
  </w:style>
  <w:style w:type="paragraph" w:styleId="22">
    <w:name w:val="Указатель2"/>
    <w:basedOn w:val="Normal"/>
    <w:qFormat/>
    <w:pPr/>
    <w:rPr/>
  </w:style>
  <w:style w:type="paragraph" w:styleId="Style25">
    <w:name w:val="Название объекта"/>
    <w:basedOn w:val="Normal"/>
    <w:qFormat/>
    <w:pPr>
      <w:spacing w:before="120" w:after="120"/>
    </w:pPr>
    <w:rPr>
      <w:i/>
      <w:iCs/>
    </w:rPr>
  </w:style>
  <w:style w:type="paragraph" w:styleId="17">
    <w:name w:val="Заголовок1"/>
    <w:basedOn w:val="Normal"/>
    <w:qFormat/>
    <w:pPr>
      <w:keepNext w:val="true"/>
      <w:spacing w:before="240" w:after="120"/>
    </w:pPr>
    <w:rPr>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54BE-E7F0-4877-98EA-AEC83132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2</Pages>
  <Words>439</Words>
  <Characters>3597</Characters>
  <CharactersWithSpaces>4048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Фасхиева Диана Наиловна</dc:creator>
  <dc:description/>
  <dc:language>ru-RU</dc:language>
  <cp:lastModifiedBy/>
  <dcterms:modified xsi:type="dcterms:W3CDTF">2025-06-27T13:50:57Z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