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 в части организации и проведения мероприятий для деятелей театрального искусства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13.01.2025 по 17.01.2025.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12 месяцев.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Дом Актёра им. Марселя Салимжанова, </w:t>
      </w:r>
      <w:r>
        <w:rPr>
          <w:rFonts w:cs="Times New Roman" w:ascii="Times New Roman" w:hAnsi="Times New Roman"/>
          <w:sz w:val="28"/>
        </w:rPr>
        <w:t>г. Казань, ул.Щапова, 37;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технические характеристики места проведения мероприятий: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концертный зал Дома Актёра им. Марселя Салимжанова на 248 посадочных мест, световое оборудование, видеопроектор, большой экран, гримерные комнаты;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оформление места проведения мероприятий: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баннеры;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звуковое оборудование (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колонки, пульт, микрофоны);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eastAsia="FreeSans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eastAsia="FreeSans" w:ascii="Times New Roman" w:hAnsi="Times New Roman"/>
          <w:sz w:val="28"/>
          <w:szCs w:val="28"/>
        </w:rPr>
        <w:t xml:space="preserve">наличие высшего профессионального образования, опыт работы в организационных комитетах творческих проектов, 13 человек. 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организация питания: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При реализации проектов: </w:t>
      </w:r>
      <w:r>
        <w:rPr>
          <w:rFonts w:cs="Times New Roman" w:ascii="Times New Roman" w:hAnsi="Times New Roman"/>
          <w:sz w:val="28"/>
        </w:rPr>
        <w:t>задействованы специалисты аппарата Союза театральных деятелей Республики Татарстан, члены Союза из государственных, муниципальных, частных театров Республики Татарстан (около 700 членов), освещение проектов ведется из официальных источников СТД Республики Татарстан, а также республиканскими СМИ (ВГТРК «Россия-1» - отделение Татарстана, «ТНВ», «Татар-информ», «Реальное время», пресс-службы театров Татарстана и др.)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Параметры проектов: всего за год планируется провести 9 мероприятий: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«</w:t>
      </w:r>
      <w:r>
        <w:rPr>
          <w:rFonts w:cs="Times New Roman" w:ascii="Times New Roman" w:hAnsi="Times New Roman"/>
          <w:sz w:val="28"/>
        </w:rPr>
        <w:t>Старый Новый год» - мероприятие с участием членов Союза</w:t>
      </w:r>
      <w:r>
        <w:rPr>
          <w:rFonts w:cs="Times New Roman" w:ascii="Times New Roman" w:hAnsi="Times New Roman"/>
          <w:b/>
          <w:sz w:val="28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«День театра».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 ко Дню Победы для ветеранов сцены.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Конкурс Союза театральных деятелей Республики Татарстан по оказанию финансового содействия государственным, муниципальным и частным профессиональным театрам РТ на постановку спектаклей в 2025-2026 г.г. </w:t>
      </w:r>
    </w:p>
    <w:p>
      <w:pPr>
        <w:pStyle w:val="Style19"/>
        <w:spacing w:lineRule="auto" w:line="276"/>
        <w:ind w:left="0" w:hanging="0"/>
        <w:rPr>
          <w:rFonts w:ascii="Times New Roman" w:hAnsi="Times New Roman" w:eastAsia="Calibri" w:eastAsiaTheme="minorHAnsi"/>
          <w:b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>Цели и задачи Конкурса: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поддержка государственных, муниципальных и частных профессиональных театров Республики Татарстан;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и активизация театральной сферы Республики Татарстан;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условий для формирования в Республике Татарстан театральной среды, отвечающей мировым тенденциям;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благотворной среды для осуществления инновационных театральных проектов.</w:t>
      </w:r>
    </w:p>
    <w:p>
      <w:pPr>
        <w:pStyle w:val="Style19"/>
        <w:spacing w:lineRule="auto" w:line="276"/>
        <w:ind w:left="0" w:hanging="0"/>
        <w:rPr>
          <w:rFonts w:ascii="Times New Roman" w:hAnsi="Times New Roman" w:eastAsia="Calibri" w:eastAsiaTheme="minorHAnsi"/>
          <w:b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>Программа Конкурса включает в себя: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открытый конкурс заявок на получение финансового содействия по итогам Конкурса;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определение лучших заявок и театров – получателей финансового содействия по итогам Конкурса;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определение суммы финансового содействия, выделяемой театру–получателю финансового содействия по итогам Конкурса;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перечисление суммы победителям Конкурса на расчетный счет театр;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проведение мероприятий и отчет театра</w:t>
      </w:r>
    </w:p>
    <w:p>
      <w:pPr>
        <w:pStyle w:val="Style19"/>
        <w:spacing w:lineRule="auto" w:line="276"/>
        <w:ind w:left="0" w:hanging="0"/>
        <w:rPr>
          <w:rFonts w:ascii="Times New Roman" w:hAnsi="Times New Roman" w:eastAsia="Calibri" w:eastAsiaTheme="minorHAnsi"/>
          <w:b/>
          <w:sz w:val="28"/>
          <w:szCs w:val="28"/>
          <w:lang w:eastAsia="en-US"/>
        </w:rPr>
      </w:pPr>
      <w:r>
        <w:rPr>
          <w:rFonts w:eastAsia="Calibri" w:ascii="Times New Roman" w:hAnsi="Times New Roman" w:eastAsiaTheme="minorHAnsi"/>
          <w:b/>
          <w:sz w:val="28"/>
          <w:szCs w:val="28"/>
          <w:lang w:eastAsia="en-US"/>
        </w:rPr>
        <w:t>Сроки реализации Проекта: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 этап: подача заявок — с 1 июня по 31августа 2025 года;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этап: конкурс заявок и определение театров – получателей финансового содействия по итогам Конкурса — с 1 по 15 сентября 2025 года;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этап: заключение договоров и перечисление суммы финансового содействия по итогам Конкурса театрам – получателям финансового содействия — до 1 октября  2025 года;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 этап: постановка спектаклей театров – получателей финансового содействия по итогам Конкурса – до 1 мая 2026 года;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 этап: отчет о постановке спектаклей, указанных в представленной заявке — до 15 мая 2026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Концертная программа для ветеранов сцены, в честь Дня пожилого человека.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Открытие театрального сезона 2025-2026 г.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Концерты Детской театральной студии «Репетиция» (в течение года)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Творческие встречи с выдающимися деятелями театрального искусства Татарстана и России (в течение года)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Актерские тренинги (в течение года)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Проведение актерских тренингов для профессиональных актеров ведущими артистами России и Татарстана.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Развитие и популяризация театрального искусства Татарстана и России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Развитие детского и молодежного творчества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Поддержка ветеранов сцены.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Развитие профессионального театрального образования</w:t>
      </w:r>
    </w:p>
    <w:p>
      <w:pPr>
        <w:pStyle w:val="Normal"/>
        <w:spacing w:lineRule="auto" w:line="240" w:before="0" w:after="0"/>
        <w:ind w:left="180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9 названий мероприятий</w:t>
      </w:r>
      <w:r>
        <w:rPr>
          <w:color w:val="000000" w:themeColor="text1"/>
        </w:rPr>
        <w:t xml:space="preserve">,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3</w:t>
      </w:r>
      <w:r>
        <w:rPr>
          <w:rFonts w:cs="Times New Roman" w:ascii="Times New Roman" w:hAnsi="Times New Roman"/>
          <w:color w:val="000000" w:themeColor="text1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из которых повторяются в течение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количество участников – </w:t>
      </w:r>
      <w:r>
        <w:rPr>
          <w:rFonts w:eastAsia="Times New Roman" w:ascii="Times New Roman" w:hAnsi="Times New Roman"/>
          <w:color w:val="000000"/>
          <w:sz w:val="28"/>
          <w:szCs w:val="28"/>
        </w:rPr>
        <w:t>более 1000 человек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количество исполнителей –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организационный комитет (специалисты аппарата СТД Республики Татарстан, звукорежиссёр, режиссёр по свету, сценарист, режиссёр, фотограф в количестве 13 человек);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9 названий мероприятий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количество участников – более 1 000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 - организационный комитет (специалисты аппарата СТД Республики Татарстан, звукорежиссер, режиссер по свету, сценарист, режиссер, фотограф в количестве 13 человек)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9 названий мероприятий, 3 из которых повторяются в течение года;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Фактически привлеченная целевая аудитория – более 1 000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2"/>
        <w:gridCol w:w="5728"/>
        <w:gridCol w:w="2687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1">
      <w:start w:val="3"/>
      <w:numFmt w:val="decimal"/>
      <w:lvlText w:val="1.%2."/>
      <w:lvlJc w:val="left"/>
      <w:pPr>
        <w:tabs>
          <w:tab w:val="num" w:pos="567"/>
        </w:tabs>
        <w:ind w:left="567" w:hanging="567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1">
      <w:start w:val="3"/>
      <w:numFmt w:val="decimal"/>
      <w:lvlText w:val="1.%2."/>
      <w:lvlJc w:val="left"/>
      <w:pPr>
        <w:tabs>
          <w:tab w:val="num" w:pos="567"/>
        </w:tabs>
        <w:ind w:left="567" w:hanging="567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19">
    <w:name w:val="Body Text Indent"/>
    <w:basedOn w:val="Normal"/>
    <w:pPr>
      <w:tabs>
        <w:tab w:val="clear" w:pos="708"/>
        <w:tab w:val="left" w:pos="9639" w:leader="none"/>
      </w:tabs>
      <w:spacing w:lineRule="auto" w:line="240" w:before="0" w:after="0"/>
      <w:ind w:left="360" w:hanging="0"/>
      <w:jc w:val="both"/>
    </w:pPr>
    <w:rPr>
      <w:rFonts w:ascii="Arial" w:hAnsi="Arial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LibreOffice/7.5.6.2$Linux_X86_64 LibreOffice_project/50$Build-2</Application>
  <AppVersion>15.0000</AppVersion>
  <Pages>10</Pages>
  <Words>2328</Words>
  <Characters>18219</Characters>
  <CharactersWithSpaces>20632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2025-01-10T10:46:34Z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