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, в части заливки записей произведений Фасиля Ахметовича Ахметова на международные платформы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 07.11.2024 по 11.11.2024.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длительность мероприятий: </w:t>
      </w:r>
    </w:p>
    <w:p>
      <w:pPr>
        <w:pStyle w:val="Normal"/>
        <w:spacing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место проведения мероприятий: РТ, РОО СК РТ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spacing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технические характеристики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звуковое обеспечение: Компьютер, </w:t>
      </w:r>
      <w:r>
        <w:rPr>
          <w:rFonts w:ascii="Times New Roman" w:hAnsi="Times New Roman"/>
          <w:sz w:val="28"/>
          <w:szCs w:val="28"/>
        </w:rPr>
        <w:t>звуковое оборудование</w:t>
      </w:r>
      <w:r>
        <w:rPr>
          <w:rFonts w:cs="Times New Roman" w:ascii="Times New Roman" w:hAnsi="Times New Roman"/>
          <w:sz w:val="28"/>
          <w:shd w:fill="FFFFFF" w:val="clear"/>
        </w:rPr>
        <w:t xml:space="preserve"> (колонки);</w:t>
      </w:r>
    </w:p>
    <w:p>
      <w:pPr>
        <w:pStyle w:val="Normal"/>
        <w:spacing w:lineRule="auto" w:line="240" w:before="0" w:after="0"/>
        <w:ind w:left="709" w:hanging="0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профессиональные требования к исполнителям, количество исполнителей: 3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содержание проектов: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Заливка записей произведений Фасиля Ахметовича Ахметова на международные платформы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целевая аудитория проектов: жители Российской Федерации и дружественных стран.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описание конечного результата реализации проекта: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Заливка записей произведений Фасиля Ахметовича Ахметова на международные платформы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количество участников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не менее 100 человек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фактически привлеченная целевая аудитория – не менее 1000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2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LibreOffice/7.5.6.2$Linux_X86_64 LibreOffice_project/50$Build-2</Application>
  <AppVersion>15.0000</AppVersion>
  <Pages>7</Pages>
  <Words>1738</Words>
  <Characters>13512</Characters>
  <CharactersWithSpaces>15200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2024-11-02T15:57:10Z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