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, в части организации и проведения форума «Деловые партнеры Татарстана»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13.09.2024 по 17.09.2024.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длительность мероприятий:</w:t>
      </w:r>
      <w:r>
        <w:rPr>
          <w:rFonts w:cs="Times New Roman" w:ascii="Times New Roman" w:hAnsi="Times New Roman"/>
          <w:sz w:val="28"/>
        </w:rPr>
        <w:t xml:space="preserve"> 3 дня 16-18.11.2024г.;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место проведения мероприятий:</w:t>
      </w:r>
      <w:r>
        <w:rPr>
          <w:sz w:val="28"/>
        </w:rPr>
        <w:t xml:space="preserve"> г. Казань Республика Татарстан</w:t>
      </w:r>
    </w:p>
    <w:p>
      <w:pPr>
        <w:pStyle w:val="NormalWeb"/>
        <w:spacing w:beforeAutospacing="0" w:before="0" w:afterAutospacing="0" w:after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>технические характеристики места проведения мероприятий: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Закрытые пространства с возможностью проезда автобуса и с доступом к санузлам (не более 500 метров), к электропитанию (не более 100 метров). Электроподключение более 20 квт разбивается на блоки по 10, 20 квт или обсуждается индивидуально исходя из технической возможности. Технические возможности в концертного зала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требования к рекламной кампании:</w:t>
      </w:r>
      <w:r>
        <w:rPr>
          <w:rFonts w:cs="Times New Roman" w:ascii="Times New Roman" w:hAnsi="Times New Roman"/>
          <w:sz w:val="28"/>
        </w:rPr>
        <w:t xml:space="preserve">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транспортное обеспечение:</w:t>
      </w:r>
      <w:r>
        <w:rPr>
          <w:rFonts w:cs="Times New Roman" w:ascii="Times New Roman" w:hAnsi="Times New Roman"/>
          <w:sz w:val="28"/>
        </w:rPr>
        <w:t xml:space="preserve"> транспортное обслуживание по переезду и сопровождению по Республике Татарстан. Транспортные услуги оказываются квалифицированными водителями со стажем работы на рейсовых автобусах не менее 5 лет при наличии соответствующей категории водительского удостоверения. Транспортные средства должны иметь сертификат соответствия требованиям и нормам, с предъявлением свидетельства о прохождения технического осмотра и обязательным условием прохождения планового технического обслуживания. Транспортные средства должны быть оборудованы трехточечными ремнями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организация питания:</w:t>
      </w:r>
      <w:r>
        <w:rPr>
          <w:rFonts w:cs="Times New Roman" w:ascii="Times New Roman" w:hAnsi="Times New Roman"/>
          <w:sz w:val="28"/>
        </w:rPr>
        <w:t xml:space="preserve"> горячее питание участников мероприятия будет организовано на протяжении трех дней. Должны быть соблюдены отдельные пункты сводов правил (СП), государственных стандартов (ГС) санитарных (санитарно-эпидемиологических) правил (СП), санитарных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Правительства. Меню должно быть согласовано за 3 дня до проведения мероприятия;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содержание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целевая аудитория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  <w:szCs w:val="28"/>
        </w:rPr>
        <w:t xml:space="preserve">Результат, в целях достижения которого предоставляется субсидия: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количество участников – не менее 450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количество исполнителей – не менее 1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cs="Times New Roman" w:ascii="Times New Roman" w:hAnsi="Times New Roman"/>
          <w:b/>
          <w:color w:val="0D0D0D" w:themeColor="text1" w:themeTint="f2"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количество проектов, реализованных в соответствии с заявкой - не менее 1 единицы;</w:t>
      </w:r>
      <w:bookmarkStart w:id="0" w:name="_GoBack_Копия_1"/>
      <w:bookmarkEnd w:id="0"/>
    </w:p>
    <w:p>
      <w:pPr>
        <w:pStyle w:val="Normal"/>
        <w:spacing w:lineRule="auto" w:line="240" w:before="0" w:after="0"/>
        <w:ind w:firstLine="709"/>
        <w:jc w:val="both"/>
        <w:rPr>
          <w:color w:themeColor="text1" w:themeTint="f2"/>
          <w:highlight w:val="none"/>
          <w:shd w:fill="auto" w:val="clear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shd w:fill="auto" w:val="clear"/>
        </w:rPr>
        <w:t>фактически привлеченная целевая аудитория – не менее 450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2" w:name="_GoBack"/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LibreOffice/7.5.6.2$Linux_X86_64 LibreOffice_project/50$Build-2</Application>
  <AppVersion>15.0000</AppVersion>
  <Pages>9</Pages>
  <Words>2028</Words>
  <Characters>16222</Characters>
  <CharactersWithSpaces>18377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2024-09-10T11:34:39Z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