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культуры, искусства кинематографии, анимации, популяризации культурного наследия, государственной национальной политики, в части организации и проведения концертов мастеров искусств в рамках Всероссийского сельского Сабантуя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09.09.2024 по 13.09.2024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Министерство культуры Республики Татарстан, 420060 г.Казань, ул.Пушкина 66/33, </w:t>
      </w:r>
      <w:r>
        <w:rPr>
          <w:rFonts w:cs="Times New Roman" w:ascii="Times New Roman" w:hAnsi="Times New Roman"/>
          <w:sz w:val="28"/>
        </w:rPr>
        <w:t xml:space="preserve">E-Mail: </w:t>
      </w:r>
      <w:hyperlink r:id="rId2">
        <w:r>
          <w:rPr>
            <w:rStyle w:val="-"/>
            <w:rFonts w:cs="Times New Roman" w:ascii="Times New Roman" w:hAnsi="Times New Roman"/>
            <w:sz w:val="28"/>
          </w:rPr>
          <w:t>mkrt@tatar.ru</w:t>
        </w:r>
      </w:hyperlink>
      <w:r>
        <w:rPr>
          <w:rFonts w:cs="Times New Roman"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Художественно-технические параметры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длительность мероприятий: 2 дня, 14-15 июня 2024 года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</w:rPr>
        <w:t xml:space="preserve">место проведения мероприятий: </w:t>
      </w:r>
      <w:r>
        <w:rPr>
          <w:rFonts w:cs="Times New Roman" w:ascii="Times New Roman" w:hAnsi="Times New Roman"/>
          <w:sz w:val="28"/>
          <w:szCs w:val="28"/>
        </w:rPr>
        <w:t>с.Барда Бардымского муниципального округа Пермского края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</w:rPr>
        <w:t>технические характеристики места проведения мероприятий: открытые площадки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оформление места проведения мероприятий: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звуковое обеспечение: есть;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профессиональные требования к исполнителям, количество исполнителей: не менее 300 человек;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сценарий проведения мероприятий: концертные программы;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требования к рекламной кампании: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транспортное обеспечение: транспортные услуги;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организация питания: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другие параметры относящиеся к проведению мероприятия: обеспечение технического райдера.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реализации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Параметры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содержание проектов: концерты мастеров искусств Республики Татарстан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целевая аудитория проектов:</w:t>
      </w:r>
      <w:r>
        <w:rPr/>
        <w:t xml:space="preserve"> </w:t>
      </w:r>
      <w:r>
        <w:rPr>
          <w:rFonts w:cs="Times New Roman" w:ascii="Times New Roman" w:hAnsi="Times New Roman"/>
          <w:sz w:val="28"/>
        </w:rPr>
        <w:t>представители национально-культурных автономий татар из регионов Российской Федерации, жители Пермского края и гости;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используемые в ходе реализации проектов материалы, технологии: выставка изделий народных художественных промыслов;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описание конечного результата реализации проекта:</w:t>
      </w:r>
      <w:r>
        <w:rPr/>
        <w:t xml:space="preserve"> </w:t>
      </w:r>
      <w:r>
        <w:rPr>
          <w:rFonts w:cs="Times New Roman" w:ascii="Times New Roman" w:hAnsi="Times New Roman"/>
          <w:sz w:val="28"/>
        </w:rPr>
        <w:t>проведение концертов мастеров искусств в рамках Всероссийского сельского Сабантуя.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2 мероприятия;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участников – не менее 300 человек;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реализации проектов: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проектов, реализованных в соответствии с заявкой – не менее 1 единицы;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фактически привлеченная целевая аудитория – не менее 5</w:t>
      </w:r>
      <w:bookmarkStart w:id="0" w:name="_GoBack"/>
      <w:bookmarkEnd w:id="0"/>
      <w:r>
        <w:rPr>
          <w:rFonts w:cs="Times New Roman" w:ascii="Times New Roman" w:hAnsi="Times New Roman"/>
          <w:color w:val="000000" w:themeColor="text1"/>
          <w:sz w:val="28"/>
          <w:szCs w:val="28"/>
        </w:rPr>
        <w:t> 000 человек.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–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</w:rPr>
          <w:t>https://mincult.tatarstan.ru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</w:rPr>
        <w:t>а)</w:t>
      </w:r>
      <w:r>
        <w:rPr>
          <w:color w:val="000000" w:themeColor="text1"/>
          <w:sz w:val="28"/>
        </w:rPr>
        <w:t xml:space="preserve"> </w:t>
      </w:r>
      <w:hyperlink r:id="rId4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заявку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5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6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>
        <w:rPr>
          <w:rFonts w:cs="Times New Roman" w:ascii="Times New Roman" w:hAnsi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на 1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 и адресе юридического лица;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отсутствие бюджетных ассигнований и лимитов бюджетных обязательств, доведенных Министерству на вышеуказанные цели.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Правил рассмотрения заявок: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6 человек в составе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установленным требованиям.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 или непредставление (представление не в полном объеме) указанных документов;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Порядка отзыва заявок, порядка возврата заявок, определяющего в том числе основания для возврата заявок, порядка внесения изменений в заявки: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разъяснения положений объявления о проведении отбора осуществляется по телефону … в день обращения.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 с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оглашение заключается в пятидневный срок, исчисляемый в рабочих днях, со дня принятия решения о предоставлении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Условия признания победителя отбора уклонившимся от заключения соглашения: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не подписания соглашения о предоставлении субсидии со стороны победителя отбора в пятидневный срок, исчисляемый в рабочих днях, со дня принятия решения о предоставлении субсидии без объяснения причины, победитель отбора считается уклонившимся от заключения соглашения.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Дата размещения результатов отбора на официальном сайте: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>
      <w:pPr>
        <w:pStyle w:val="Normal"/>
        <w:spacing w:lineRule="auto" w:line="259" w:before="0" w:after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  <w:r>
        <w:br w:type="page"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67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Порядку предоставления субсидий из бюджета Республики Татарстан некоммерческим организациям 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финансовое обеспечение (возмещение) затрат, связанных с реализацией проектов, организацией и проведением мероприятий в сфере культуры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Заявка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(возмещение) затрат, связанных с 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«__» ________ 20__ г.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Полное наименование некоммерческой организации: 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 (далее  – организация).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Информация о видах деятельности, осуществляемых организацией:____________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Цели предоставления субсидии: 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Сумма субсидии: 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Место государственной регистрации организации: 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Почтовый адрес организации: 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Банковские реквизиты организации для зачисления средств субсидии:__________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Даю согласие на публикацию (размещение) в информационно-телекоммуникационной сети «Интернет» информации об организации, о подаваемой ею заявке, иной информации об организации, связанной с проведением отбора некоммерческой организации для предоставления субсидии.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Приложение:</w:t>
      </w:r>
    </w:p>
    <w:tbl>
      <w:tblPr>
        <w:tblW w:w="9007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93"/>
        <w:gridCol w:w="5727"/>
        <w:gridCol w:w="2687"/>
      </w:tblGrid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Руководитель                       ________________/_____________________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(подпись)      (расшифровка подписи)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М.П.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sectPr>
      <w:type w:val="nextPage"/>
      <w:pgSz w:w="11906" w:h="16838"/>
      <w:pgMar w:left="1134" w:right="56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91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326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7c3268"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nformat" w:customStyle="1">
    <w:name w:val="ConsPlusNonformat"/>
    <w:qFormat/>
    <w:rsid w:val="00df622d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Normal" w:customStyle="1">
    <w:name w:val="ConsPlusNormal"/>
    <w:qFormat/>
    <w:rsid w:val="00df622d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krt@tatar.ru" TargetMode="External"/><Relationship Id="rId3" Type="http://schemas.openxmlformats.org/officeDocument/2006/relationships/hyperlink" Target="https://mincult.tatarstan.ru/" TargetMode="External"/><Relationship Id="rId4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6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LibreOffice/7.5.6.2$Linux_X86_64 LibreOffice_project/50$Build-2</Application>
  <AppVersion>15.0000</AppVersion>
  <Pages>9</Pages>
  <Words>1922</Words>
  <Characters>15528</Characters>
  <CharactersWithSpaces>17571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2024-09-06T12:53:00Z</dcterms:created>
  <dc:creator>Мусин Нияз Илдусович</dc:creator>
  <dc:description/>
  <dc:language>ru-RU</dc:language>
  <cp:lastModifiedBy/>
  <dcterms:modified xsi:type="dcterms:W3CDTF">2024-09-06T16:28:58Z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