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865" w:rsidRDefault="009A4865">
      <w:pPr>
        <w:outlineLvl w:val="0"/>
      </w:pPr>
    </w:p>
    <w:p w:rsidR="001B3BF3" w:rsidRPr="001B3BF3" w:rsidRDefault="001B3BF3" w:rsidP="001B3BF3">
      <w:pPr>
        <w:jc w:val="center"/>
        <w:rPr>
          <w:sz w:val="32"/>
          <w:szCs w:val="32"/>
        </w:rPr>
      </w:pPr>
      <w:r w:rsidRPr="001B3BF3">
        <w:rPr>
          <w:sz w:val="32"/>
          <w:szCs w:val="32"/>
        </w:rPr>
        <w:t>Объявление о проведении отбора для предоставления субсидии некоммерческой организации в целях финансового обеспечения (возмещения) затрат, связанных с реализацией проектов, организацией и проведением мероприятий в сфере культуры, искусства кинематографии, анимации, популяризации культурного наследия, государственной национальной политики, в части организации и проведения мероприятия «</w:t>
      </w:r>
      <w:r w:rsidRPr="001B3BF3">
        <w:rPr>
          <w:sz w:val="32"/>
          <w:szCs w:val="32"/>
        </w:rPr>
        <w:t>Памяти композитора</w:t>
      </w:r>
      <w:r w:rsidRPr="001B3BF3">
        <w:rPr>
          <w:sz w:val="32"/>
          <w:szCs w:val="32"/>
        </w:rPr>
        <w:t>»</w:t>
      </w:r>
    </w:p>
    <w:p w:rsidR="001B3BF3" w:rsidRPr="001B3BF3" w:rsidRDefault="001B3BF3" w:rsidP="001B3BF3">
      <w:pPr>
        <w:rPr>
          <w:sz w:val="32"/>
          <w:szCs w:val="32"/>
        </w:rPr>
      </w:pPr>
    </w:p>
    <w:p w:rsidR="009A4865" w:rsidRDefault="001B3BF3" w:rsidP="001B3BF3">
      <w:r w:rsidRPr="001B3BF3">
        <w:rPr>
          <w:sz w:val="32"/>
          <w:szCs w:val="32"/>
        </w:rPr>
        <w:t xml:space="preserve">Срок проведения отбора </w:t>
      </w:r>
      <w:r w:rsidRPr="001B3BF3">
        <w:rPr>
          <w:b w:val="0"/>
          <w:sz w:val="32"/>
          <w:szCs w:val="32"/>
        </w:rPr>
        <w:t>– с 17.02.2023 по 18.03.2023.</w:t>
      </w:r>
      <w:bookmarkStart w:id="0" w:name="_GoBack"/>
      <w:bookmarkEnd w:id="0"/>
    </w:p>
    <w:p w:rsidR="009A4865" w:rsidRDefault="009A4865"/>
    <w:p w:rsidR="009A4865" w:rsidRDefault="00A8661D">
      <w:pPr>
        <w:ind w:left="708" w:firstLine="0"/>
      </w:pPr>
      <w:r>
        <w:t xml:space="preserve">Место проведение отбора – </w:t>
      </w:r>
      <w:r w:rsidRPr="003E2230">
        <w:rPr>
          <w:b w:val="0"/>
        </w:rPr>
        <w:t xml:space="preserve">Министерство культуры Республики Татарстан, 420060 </w:t>
      </w:r>
      <w:proofErr w:type="spellStart"/>
      <w:r w:rsidRPr="003E2230">
        <w:rPr>
          <w:b w:val="0"/>
        </w:rPr>
        <w:t>г.Казань</w:t>
      </w:r>
      <w:proofErr w:type="spellEnd"/>
      <w:r w:rsidRPr="003E2230">
        <w:rPr>
          <w:b w:val="0"/>
        </w:rPr>
        <w:t xml:space="preserve">, </w:t>
      </w:r>
      <w:proofErr w:type="spellStart"/>
      <w:r w:rsidRPr="003E2230">
        <w:rPr>
          <w:b w:val="0"/>
        </w:rPr>
        <w:t>ул.Пушкина</w:t>
      </w:r>
      <w:proofErr w:type="spellEnd"/>
      <w:r w:rsidRPr="003E2230">
        <w:rPr>
          <w:b w:val="0"/>
        </w:rPr>
        <w:t xml:space="preserve"> 66/33, E-</w:t>
      </w:r>
      <w:proofErr w:type="spellStart"/>
      <w:r w:rsidRPr="003E2230">
        <w:rPr>
          <w:b w:val="0"/>
        </w:rPr>
        <w:t>Mail</w:t>
      </w:r>
      <w:proofErr w:type="spellEnd"/>
      <w:r w:rsidRPr="003E2230">
        <w:rPr>
          <w:b w:val="0"/>
        </w:rPr>
        <w:t xml:space="preserve">: </w:t>
      </w:r>
      <w:hyperlink r:id="rId7" w:history="1">
        <w:r w:rsidRPr="003E2230">
          <w:rPr>
            <w:rStyle w:val="Hyperlink0"/>
            <w:rFonts w:eastAsia="Arial Unicode MS"/>
            <w:b w:val="0"/>
          </w:rPr>
          <w:t>mkrt@tatar.ru</w:t>
        </w:r>
      </w:hyperlink>
      <w:r w:rsidRPr="003E2230">
        <w:rPr>
          <w:b w:val="0"/>
        </w:rPr>
        <w:t>.</w:t>
      </w:r>
    </w:p>
    <w:p w:rsidR="009A4865" w:rsidRDefault="009A4865" w:rsidP="003E2230"/>
    <w:p w:rsidR="009A4865" w:rsidRDefault="00A8661D" w:rsidP="003E2230">
      <w:pPr>
        <w:rPr>
          <w:b w:val="0"/>
          <w:bCs w:val="0"/>
        </w:rPr>
      </w:pPr>
      <w:r>
        <w:rPr>
          <w:b w:val="0"/>
          <w:bCs w:val="0"/>
        </w:rPr>
        <w:t>При организации и проведении меропри</w:t>
      </w:r>
      <w:r w:rsidR="003E2230">
        <w:rPr>
          <w:b w:val="0"/>
          <w:bCs w:val="0"/>
        </w:rPr>
        <w:t xml:space="preserve">ятия: “Памяти композитора”: </w:t>
      </w:r>
      <w:r w:rsidR="003E2230">
        <w:rPr>
          <w:b w:val="0"/>
          <w:bCs w:val="0"/>
        </w:rPr>
        <w:tab/>
      </w:r>
      <w:r w:rsidR="003E2230">
        <w:rPr>
          <w:b w:val="0"/>
          <w:bCs w:val="0"/>
        </w:rPr>
        <w:tab/>
      </w:r>
      <w:r>
        <w:rPr>
          <w:b w:val="0"/>
          <w:bCs w:val="0"/>
        </w:rPr>
        <w:t>Концерты из произведений Бату Милюкова</w:t>
      </w:r>
      <w:r w:rsidR="003E2230">
        <w:rPr>
          <w:b w:val="0"/>
          <w:bCs w:val="0"/>
        </w:rPr>
        <w:t xml:space="preserve">, </w:t>
      </w:r>
      <w:proofErr w:type="spellStart"/>
      <w:r w:rsidR="003E2230">
        <w:rPr>
          <w:b w:val="0"/>
          <w:bCs w:val="0"/>
        </w:rPr>
        <w:t>Масгута</w:t>
      </w:r>
      <w:proofErr w:type="spellEnd"/>
      <w:r w:rsidR="003E2230">
        <w:rPr>
          <w:b w:val="0"/>
          <w:bCs w:val="0"/>
        </w:rPr>
        <w:t xml:space="preserve"> </w:t>
      </w:r>
      <w:proofErr w:type="spellStart"/>
      <w:r w:rsidR="003E2230">
        <w:rPr>
          <w:b w:val="0"/>
          <w:bCs w:val="0"/>
        </w:rPr>
        <w:t>Латыпова</w:t>
      </w:r>
      <w:proofErr w:type="spellEnd"/>
      <w:r w:rsidR="003E2230">
        <w:rPr>
          <w:b w:val="0"/>
          <w:bCs w:val="0"/>
        </w:rPr>
        <w:t xml:space="preserve">, </w:t>
      </w:r>
      <w:proofErr w:type="spellStart"/>
      <w:r w:rsidR="003E2230">
        <w:rPr>
          <w:b w:val="0"/>
          <w:bCs w:val="0"/>
        </w:rPr>
        <w:t>Мирсаида</w:t>
      </w:r>
      <w:proofErr w:type="spellEnd"/>
      <w:r w:rsidR="003E2230">
        <w:rPr>
          <w:b w:val="0"/>
          <w:bCs w:val="0"/>
        </w:rPr>
        <w:t xml:space="preserve"> </w:t>
      </w:r>
      <w:r w:rsidR="003E2230">
        <w:rPr>
          <w:b w:val="0"/>
          <w:bCs w:val="0"/>
        </w:rPr>
        <w:tab/>
      </w:r>
      <w:proofErr w:type="spellStart"/>
      <w:r>
        <w:rPr>
          <w:b w:val="0"/>
          <w:bCs w:val="0"/>
        </w:rPr>
        <w:t>Яруллина</w:t>
      </w:r>
      <w:proofErr w:type="spellEnd"/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9A4865" w:rsidRDefault="00A8661D" w:rsidP="003E2230">
      <w:pPr>
        <w:rPr>
          <w:b w:val="0"/>
          <w:bCs w:val="0"/>
        </w:rPr>
      </w:pPr>
      <w:r>
        <w:rPr>
          <w:b w:val="0"/>
          <w:bCs w:val="0"/>
        </w:rPr>
        <w:t>Художественно - технические параметры мероприятий:</w:t>
      </w:r>
    </w:p>
    <w:p w:rsidR="009A4865" w:rsidRDefault="00A8661D" w:rsidP="003E2230">
      <w:pPr>
        <w:rPr>
          <w:b w:val="0"/>
          <w:bCs w:val="0"/>
        </w:rPr>
      </w:pPr>
      <w:r>
        <w:rPr>
          <w:b w:val="0"/>
          <w:bCs w:val="0"/>
        </w:rPr>
        <w:t>Длительность мероприятий: 3 месяца</w:t>
      </w:r>
    </w:p>
    <w:p w:rsidR="009A4865" w:rsidRDefault="00A8661D" w:rsidP="003E2230">
      <w:pPr>
        <w:ind w:firstLine="709"/>
        <w:rPr>
          <w:b w:val="0"/>
          <w:bCs w:val="0"/>
        </w:rPr>
      </w:pPr>
      <w:r>
        <w:rPr>
          <w:b w:val="0"/>
          <w:bCs w:val="0"/>
        </w:rPr>
        <w:t>место проведения мероприятий: г. Казань, исторический центр</w:t>
      </w:r>
    </w:p>
    <w:p w:rsidR="009A4865" w:rsidRDefault="00A8661D" w:rsidP="003E2230">
      <w:pPr>
        <w:ind w:firstLine="709"/>
        <w:rPr>
          <w:b w:val="0"/>
          <w:bCs w:val="0"/>
        </w:rPr>
      </w:pPr>
      <w:r>
        <w:rPr>
          <w:b w:val="0"/>
          <w:bCs w:val="0"/>
        </w:rPr>
        <w:t xml:space="preserve">технические характеристики места проведения мероприятий: концертный зал </w:t>
      </w:r>
      <w:r>
        <w:rPr>
          <w:b w:val="0"/>
          <w:bCs w:val="0"/>
        </w:rPr>
        <w:tab/>
        <w:t xml:space="preserve">классического </w:t>
      </w:r>
      <w:proofErr w:type="spellStart"/>
      <w:r>
        <w:rPr>
          <w:b w:val="0"/>
          <w:bCs w:val="0"/>
        </w:rPr>
        <w:t>образцана</w:t>
      </w:r>
      <w:proofErr w:type="spellEnd"/>
      <w:r>
        <w:rPr>
          <w:b w:val="0"/>
          <w:bCs w:val="0"/>
        </w:rPr>
        <w:t xml:space="preserve"> 100 посадочных</w:t>
      </w:r>
      <w:r w:rsidR="003E2230">
        <w:rPr>
          <w:b w:val="0"/>
          <w:bCs w:val="0"/>
        </w:rPr>
        <w:t xml:space="preserve"> мест, естественная акустика </w:t>
      </w:r>
      <w:r w:rsidR="003E2230">
        <w:rPr>
          <w:b w:val="0"/>
          <w:bCs w:val="0"/>
        </w:rPr>
        <w:tab/>
      </w:r>
      <w:r w:rsidR="003E2230">
        <w:rPr>
          <w:b w:val="0"/>
          <w:bCs w:val="0"/>
        </w:rPr>
        <w:tab/>
      </w:r>
      <w:r>
        <w:rPr>
          <w:b w:val="0"/>
          <w:bCs w:val="0"/>
        </w:rPr>
        <w:t>помещения с реверберацией до 2,2 сек, высот</w:t>
      </w:r>
      <w:r w:rsidR="003E2230">
        <w:rPr>
          <w:b w:val="0"/>
          <w:bCs w:val="0"/>
        </w:rPr>
        <w:t xml:space="preserve">а потолков 5,5 м, влажность </w:t>
      </w:r>
      <w:r w:rsidR="003E2230">
        <w:rPr>
          <w:b w:val="0"/>
          <w:bCs w:val="0"/>
        </w:rPr>
        <w:tab/>
      </w:r>
      <w:r w:rsidR="003E2230">
        <w:rPr>
          <w:b w:val="0"/>
          <w:bCs w:val="0"/>
        </w:rPr>
        <w:tab/>
      </w:r>
      <w:r>
        <w:rPr>
          <w:b w:val="0"/>
          <w:bCs w:val="0"/>
        </w:rPr>
        <w:t xml:space="preserve">помещения 40%, наличие 2 роялей, </w:t>
      </w:r>
      <w:proofErr w:type="spellStart"/>
      <w:r>
        <w:rPr>
          <w:b w:val="0"/>
          <w:bCs w:val="0"/>
        </w:rPr>
        <w:t>репетито</w:t>
      </w:r>
      <w:r w:rsidR="003E2230">
        <w:rPr>
          <w:b w:val="0"/>
          <w:bCs w:val="0"/>
        </w:rPr>
        <w:t>риев</w:t>
      </w:r>
      <w:proofErr w:type="spellEnd"/>
      <w:r w:rsidR="003E2230">
        <w:rPr>
          <w:b w:val="0"/>
          <w:bCs w:val="0"/>
        </w:rPr>
        <w:t xml:space="preserve">, оснащенных клавишными и </w:t>
      </w:r>
      <w:r w:rsidR="003E2230">
        <w:rPr>
          <w:b w:val="0"/>
          <w:bCs w:val="0"/>
        </w:rPr>
        <w:tab/>
      </w:r>
      <w:r>
        <w:rPr>
          <w:b w:val="0"/>
          <w:bCs w:val="0"/>
        </w:rPr>
        <w:t>народными музыкальными инструментами.</w:t>
      </w:r>
    </w:p>
    <w:p w:rsidR="009A4865" w:rsidRDefault="00A8661D" w:rsidP="003E2230">
      <w:pPr>
        <w:ind w:firstLine="709"/>
        <w:rPr>
          <w:b w:val="0"/>
          <w:bCs w:val="0"/>
        </w:rPr>
      </w:pPr>
      <w:r>
        <w:rPr>
          <w:b w:val="0"/>
          <w:bCs w:val="0"/>
        </w:rPr>
        <w:t>оформление места проведения мероприятий: нет</w:t>
      </w:r>
    </w:p>
    <w:p w:rsidR="009A4865" w:rsidRDefault="00A8661D" w:rsidP="003E2230">
      <w:pPr>
        <w:rPr>
          <w:b w:val="0"/>
          <w:bCs w:val="0"/>
        </w:rPr>
      </w:pPr>
      <w:r>
        <w:rPr>
          <w:b w:val="0"/>
          <w:bCs w:val="0"/>
        </w:rPr>
        <w:t>звуковое обеспечение: звуковое оборудование (колонки, пульт, микрофоны);</w:t>
      </w:r>
    </w:p>
    <w:p w:rsidR="009A4865" w:rsidRDefault="00A8661D" w:rsidP="003E2230">
      <w:pPr>
        <w:pStyle w:val="ConsPlusNonformat"/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профессиональные требования к исполнителям, количество исполнителей: </w:t>
      </w:r>
      <w:r w:rsidR="003E2230">
        <w:rPr>
          <w:rFonts w:ascii="Times New Roman" w:eastAsia="Times New Roman" w:hAnsi="Times New Roman" w:cs="Times New Roman"/>
          <w:sz w:val="28"/>
          <w:szCs w:val="28"/>
        </w:rPr>
        <w:tab/>
      </w:r>
      <w:r w:rsidR="003E223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наличие высшего профессионального образования, опыт работы в </w:t>
      </w:r>
      <w:r w:rsidR="003E2230">
        <w:rPr>
          <w:rFonts w:ascii="Times New Roman" w:eastAsia="Times New Roman" w:hAnsi="Times New Roman" w:cs="Times New Roman"/>
          <w:sz w:val="28"/>
          <w:szCs w:val="28"/>
        </w:rPr>
        <w:tab/>
      </w:r>
      <w:r w:rsidR="003E2230">
        <w:rPr>
          <w:rFonts w:ascii="Times New Roman" w:eastAsia="Times New Roman" w:hAnsi="Times New Roman" w:cs="Times New Roman"/>
          <w:sz w:val="28"/>
          <w:szCs w:val="28"/>
        </w:rPr>
        <w:tab/>
      </w:r>
      <w:r w:rsidR="003E223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организационных комитетах творческих проектов, 5 человек </w:t>
      </w:r>
    </w:p>
    <w:p w:rsidR="009A4865" w:rsidRPr="003E2230" w:rsidRDefault="00A8661D">
      <w:pPr>
        <w:ind w:left="709" w:firstLine="0"/>
        <w:rPr>
          <w:b w:val="0"/>
          <w:bCs w:val="0"/>
        </w:rPr>
      </w:pPr>
      <w:r w:rsidRPr="003E2230">
        <w:rPr>
          <w:b w:val="0"/>
        </w:rPr>
        <w:t xml:space="preserve">сценарий проведения мероприятий: </w:t>
      </w:r>
      <w:r w:rsidRPr="003E2230">
        <w:rPr>
          <w:b w:val="0"/>
          <w:bCs w:val="0"/>
        </w:rPr>
        <w:t>да;</w:t>
      </w:r>
    </w:p>
    <w:p w:rsidR="009A4865" w:rsidRPr="003E2230" w:rsidRDefault="00A8661D">
      <w:pPr>
        <w:rPr>
          <w:b w:val="0"/>
          <w:bCs w:val="0"/>
        </w:rPr>
      </w:pPr>
      <w:r w:rsidRPr="003E2230">
        <w:rPr>
          <w:b w:val="0"/>
        </w:rPr>
        <w:t xml:space="preserve">требования к рекламной кампании: </w:t>
      </w:r>
      <w:r w:rsidRPr="003E2230">
        <w:rPr>
          <w:b w:val="0"/>
          <w:bCs w:val="0"/>
        </w:rPr>
        <w:t>нет;</w:t>
      </w:r>
    </w:p>
    <w:p w:rsidR="009A4865" w:rsidRPr="003E2230" w:rsidRDefault="00A8661D">
      <w:pPr>
        <w:rPr>
          <w:b w:val="0"/>
          <w:bCs w:val="0"/>
        </w:rPr>
      </w:pPr>
      <w:r w:rsidRPr="003E2230">
        <w:rPr>
          <w:b w:val="0"/>
        </w:rPr>
        <w:t>транспортное обеспечение:</w:t>
      </w:r>
      <w:r w:rsidR="003E2230" w:rsidRPr="003E2230">
        <w:rPr>
          <w:b w:val="0"/>
        </w:rPr>
        <w:t xml:space="preserve"> </w:t>
      </w:r>
      <w:r w:rsidRPr="003E2230">
        <w:rPr>
          <w:b w:val="0"/>
          <w:bCs w:val="0"/>
        </w:rPr>
        <w:t>нет</w:t>
      </w:r>
      <w:r w:rsidR="003E2230" w:rsidRPr="003E2230">
        <w:rPr>
          <w:b w:val="0"/>
          <w:bCs w:val="0"/>
        </w:rPr>
        <w:t>.</w:t>
      </w:r>
    </w:p>
    <w:p w:rsidR="009A4865" w:rsidRDefault="009A4865"/>
    <w:p w:rsidR="003E2230" w:rsidRDefault="00A8661D" w:rsidP="003E2230">
      <w:pPr>
        <w:rPr>
          <w:b w:val="0"/>
          <w:bCs w:val="0"/>
        </w:rPr>
      </w:pPr>
      <w:r>
        <w:t xml:space="preserve">При реализации проектов: </w:t>
      </w:r>
      <w:r>
        <w:rPr>
          <w:b w:val="0"/>
          <w:bCs w:val="0"/>
        </w:rPr>
        <w:t>задействован</w:t>
      </w:r>
      <w:r w:rsidR="003E2230">
        <w:rPr>
          <w:b w:val="0"/>
          <w:bCs w:val="0"/>
        </w:rPr>
        <w:t xml:space="preserve">ы специалисты аппарата Союза </w:t>
      </w:r>
      <w:r>
        <w:rPr>
          <w:b w:val="0"/>
          <w:bCs w:val="0"/>
        </w:rPr>
        <w:t>композиторов Республики Татарстан (57 ч</w:t>
      </w:r>
      <w:r w:rsidR="003E2230">
        <w:rPr>
          <w:b w:val="0"/>
          <w:bCs w:val="0"/>
        </w:rPr>
        <w:t xml:space="preserve">ленов), мастера искусств РТ, </w:t>
      </w:r>
      <w:r>
        <w:rPr>
          <w:b w:val="0"/>
          <w:bCs w:val="0"/>
        </w:rPr>
        <w:t xml:space="preserve">студенты Казанской консерватории освещение проектов ведется из </w:t>
      </w:r>
      <w:r w:rsidR="003E2230">
        <w:rPr>
          <w:b w:val="0"/>
          <w:bCs w:val="0"/>
        </w:rPr>
        <w:t xml:space="preserve">официальных источников </w:t>
      </w:r>
      <w:r>
        <w:rPr>
          <w:b w:val="0"/>
          <w:bCs w:val="0"/>
        </w:rPr>
        <w:t>РОО СК РТ</w:t>
      </w:r>
      <w:r w:rsidR="003E2230">
        <w:rPr>
          <w:b w:val="0"/>
          <w:bCs w:val="0"/>
        </w:rPr>
        <w:t xml:space="preserve">, с интернет-портала «Музыка </w:t>
      </w:r>
      <w:r>
        <w:rPr>
          <w:b w:val="0"/>
          <w:bCs w:val="0"/>
        </w:rPr>
        <w:t>России»,</w:t>
      </w:r>
      <w:r w:rsidR="003E2230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сайта Союза композиторов России, а </w:t>
      </w:r>
      <w:r>
        <w:rPr>
          <w:b w:val="0"/>
          <w:bCs w:val="0"/>
        </w:rPr>
        <w:tab/>
      </w:r>
      <w:proofErr w:type="spellStart"/>
      <w:r w:rsidR="003E2230">
        <w:rPr>
          <w:b w:val="0"/>
          <w:bCs w:val="0"/>
        </w:rPr>
        <w:t>такжереспубликанскими</w:t>
      </w:r>
      <w:proofErr w:type="spellEnd"/>
      <w:r w:rsidR="003E2230">
        <w:rPr>
          <w:b w:val="0"/>
          <w:bCs w:val="0"/>
        </w:rPr>
        <w:t xml:space="preserve"> СМИ </w:t>
      </w:r>
      <w:r>
        <w:rPr>
          <w:b w:val="0"/>
          <w:bCs w:val="0"/>
        </w:rPr>
        <w:t>(«Бизнес онлайн», «ТНВ», «Татар-</w:t>
      </w:r>
      <w:proofErr w:type="spellStart"/>
      <w:r>
        <w:rPr>
          <w:b w:val="0"/>
          <w:bCs w:val="0"/>
        </w:rPr>
        <w:t>информ</w:t>
      </w:r>
      <w:proofErr w:type="spellEnd"/>
      <w:r>
        <w:rPr>
          <w:b w:val="0"/>
          <w:bCs w:val="0"/>
        </w:rPr>
        <w:t>», «Реальное время», и др.)</w:t>
      </w:r>
    </w:p>
    <w:p w:rsidR="009A4865" w:rsidRPr="003E2230" w:rsidRDefault="00A8661D" w:rsidP="003E2230">
      <w:pPr>
        <w:rPr>
          <w:b w:val="0"/>
          <w:bCs w:val="0"/>
        </w:rPr>
      </w:pPr>
      <w:r>
        <w:t xml:space="preserve">Параметры проектов: </w:t>
      </w:r>
    </w:p>
    <w:p w:rsidR="009A4865" w:rsidRDefault="00A8661D" w:rsidP="003E2230">
      <w:pPr>
        <w:rPr>
          <w:b w:val="0"/>
          <w:bCs w:val="0"/>
        </w:rPr>
      </w:pPr>
      <w:r>
        <w:rPr>
          <w:b w:val="0"/>
          <w:bCs w:val="0"/>
        </w:rPr>
        <w:t xml:space="preserve">Проведение концертов </w:t>
      </w:r>
    </w:p>
    <w:p w:rsidR="009A4865" w:rsidRDefault="00A8661D" w:rsidP="003E2230">
      <w:r>
        <w:t>Результат, в целях достижения которого предоставляется субсидия:</w:t>
      </w:r>
    </w:p>
    <w:p w:rsidR="003E2230" w:rsidRDefault="00A8661D" w:rsidP="003E2230">
      <w:pPr>
        <w:tabs>
          <w:tab w:val="left" w:pos="2160"/>
        </w:tabs>
        <w:rPr>
          <w:b w:val="0"/>
          <w:bCs w:val="0"/>
        </w:rPr>
      </w:pPr>
      <w:r>
        <w:rPr>
          <w:b w:val="0"/>
          <w:bCs w:val="0"/>
        </w:rPr>
        <w:lastRenderedPageBreak/>
        <w:t>Повышение популярности музыки и личности композиторов Татарстана</w:t>
      </w:r>
    </w:p>
    <w:p w:rsidR="009A4865" w:rsidRPr="003E2230" w:rsidRDefault="00A8661D" w:rsidP="003E2230">
      <w:pPr>
        <w:tabs>
          <w:tab w:val="left" w:pos="2160"/>
        </w:tabs>
        <w:rPr>
          <w:b w:val="0"/>
          <w:bCs w:val="0"/>
        </w:rPr>
      </w:pPr>
      <w:r>
        <w:t>При организации и проведении мероприятий:</w:t>
      </w:r>
    </w:p>
    <w:p w:rsidR="009A4865" w:rsidRDefault="00A8661D">
      <w:pPr>
        <w:rPr>
          <w:b w:val="0"/>
          <w:bCs w:val="0"/>
        </w:rPr>
      </w:pPr>
      <w:r>
        <w:rPr>
          <w:b w:val="0"/>
          <w:bCs w:val="0"/>
        </w:rPr>
        <w:t xml:space="preserve">количество реализованных мероприятий, соответствующих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художественно-техническим параметра</w:t>
      </w:r>
      <w:r w:rsidR="003E2230">
        <w:rPr>
          <w:b w:val="0"/>
          <w:bCs w:val="0"/>
        </w:rPr>
        <w:t xml:space="preserve">м – 1 название мероприятия, </w:t>
      </w:r>
      <w:r w:rsidR="003E2230">
        <w:rPr>
          <w:b w:val="0"/>
          <w:bCs w:val="0"/>
        </w:rPr>
        <w:tab/>
      </w:r>
      <w:r w:rsidR="003E2230">
        <w:rPr>
          <w:b w:val="0"/>
          <w:bCs w:val="0"/>
        </w:rPr>
        <w:tab/>
      </w:r>
      <w:r w:rsidR="003E2230">
        <w:rPr>
          <w:b w:val="0"/>
          <w:bCs w:val="0"/>
        </w:rPr>
        <w:tab/>
      </w:r>
      <w:r>
        <w:rPr>
          <w:b w:val="0"/>
          <w:bCs w:val="0"/>
        </w:rPr>
        <w:t>повторяется в течение года 2 раза.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количество участников – более 3 000 человек;</w:t>
      </w:r>
    </w:p>
    <w:p w:rsidR="009A4865" w:rsidRDefault="00A8661D">
      <w:pPr>
        <w:rPr>
          <w:b w:val="0"/>
          <w:bCs w:val="0"/>
        </w:rPr>
      </w:pPr>
      <w:r>
        <w:rPr>
          <w:b w:val="0"/>
          <w:bCs w:val="0"/>
        </w:rPr>
        <w:t>количество исполнителей – 14 человек:</w:t>
      </w:r>
      <w:r w:rsidR="003E2230">
        <w:rPr>
          <w:b w:val="0"/>
          <w:bCs w:val="0"/>
        </w:rPr>
        <w:t xml:space="preserve">(специалисты аппарата РОО СК </w:t>
      </w:r>
      <w:r w:rsidR="003E2230">
        <w:rPr>
          <w:b w:val="0"/>
          <w:bCs w:val="0"/>
        </w:rPr>
        <w:tab/>
      </w:r>
      <w:r>
        <w:rPr>
          <w:b w:val="0"/>
          <w:bCs w:val="0"/>
        </w:rPr>
        <w:t>Республики Татарстан 2 чел.), 12 человек композиторы-исполнител</w:t>
      </w:r>
      <w:r w:rsidR="003E2230">
        <w:rPr>
          <w:b w:val="0"/>
          <w:bCs w:val="0"/>
        </w:rPr>
        <w:t xml:space="preserve">и, </w:t>
      </w:r>
      <w:r w:rsidR="003E2230">
        <w:rPr>
          <w:b w:val="0"/>
          <w:bCs w:val="0"/>
        </w:rPr>
        <w:tab/>
      </w:r>
      <w:r w:rsidR="003E2230">
        <w:rPr>
          <w:b w:val="0"/>
          <w:bCs w:val="0"/>
        </w:rPr>
        <w:tab/>
      </w:r>
      <w:r w:rsidR="003E2230">
        <w:rPr>
          <w:b w:val="0"/>
          <w:bCs w:val="0"/>
        </w:rPr>
        <w:tab/>
      </w:r>
      <w:r>
        <w:rPr>
          <w:b w:val="0"/>
          <w:bCs w:val="0"/>
        </w:rPr>
        <w:t>мастера искусств РТ, студенты</w:t>
      </w:r>
    </w:p>
    <w:p w:rsidR="009A4865" w:rsidRPr="003E2230" w:rsidRDefault="00A8661D">
      <w:pPr>
        <w:rPr>
          <w:bCs w:val="0"/>
        </w:rPr>
      </w:pPr>
      <w:r w:rsidRPr="003E2230">
        <w:rPr>
          <w:bCs w:val="0"/>
        </w:rPr>
        <w:t>При реализации проектов:</w:t>
      </w:r>
    </w:p>
    <w:p w:rsidR="009A4865" w:rsidRDefault="00A8661D" w:rsidP="003E2230">
      <w:pPr>
        <w:ind w:firstLine="709"/>
        <w:rPr>
          <w:b w:val="0"/>
          <w:bCs w:val="0"/>
        </w:rPr>
      </w:pPr>
      <w:r>
        <w:rPr>
          <w:b w:val="0"/>
          <w:bCs w:val="0"/>
        </w:rPr>
        <w:t>количество проектов, реализованных в соответствии с заявкой – 1 название</w:t>
      </w:r>
      <w:r w:rsidR="003E2230">
        <w:rPr>
          <w:b w:val="0"/>
          <w:bCs w:val="0"/>
        </w:rPr>
        <w:tab/>
      </w:r>
      <w:r>
        <w:rPr>
          <w:b w:val="0"/>
          <w:bCs w:val="0"/>
        </w:rPr>
        <w:t>мероприятия, повторяется в течение года 2 раза.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количество участников – более 3 000 человек;</w:t>
      </w:r>
    </w:p>
    <w:p w:rsidR="009A4865" w:rsidRDefault="00A8661D">
      <w:pPr>
        <w:rPr>
          <w:b w:val="0"/>
          <w:bCs w:val="0"/>
        </w:rPr>
      </w:pPr>
      <w:r>
        <w:rPr>
          <w:b w:val="0"/>
          <w:bCs w:val="0"/>
        </w:rPr>
        <w:t>14 человек:</w:t>
      </w:r>
      <w:r w:rsidR="003E2230">
        <w:rPr>
          <w:b w:val="0"/>
          <w:bCs w:val="0"/>
        </w:rPr>
        <w:t xml:space="preserve"> </w:t>
      </w:r>
      <w:r>
        <w:rPr>
          <w:b w:val="0"/>
          <w:bCs w:val="0"/>
        </w:rPr>
        <w:t>(специалисты аппарата РОО СК Рес</w:t>
      </w:r>
      <w:r w:rsidR="003E2230">
        <w:rPr>
          <w:b w:val="0"/>
          <w:bCs w:val="0"/>
        </w:rPr>
        <w:t xml:space="preserve">публики Татарстан 2 чел.), 12 </w:t>
      </w:r>
      <w:r w:rsidR="003E2230">
        <w:rPr>
          <w:b w:val="0"/>
          <w:bCs w:val="0"/>
        </w:rPr>
        <w:tab/>
      </w:r>
      <w:r>
        <w:rPr>
          <w:b w:val="0"/>
          <w:bCs w:val="0"/>
        </w:rPr>
        <w:t>человек композиторы-исполнители, мастера искусств РТ, студенты</w:t>
      </w:r>
    </w:p>
    <w:p w:rsidR="009A4865" w:rsidRPr="003E2230" w:rsidRDefault="00A8661D">
      <w:pPr>
        <w:ind w:firstLine="709"/>
        <w:rPr>
          <w:bCs w:val="0"/>
        </w:rPr>
      </w:pPr>
      <w:r w:rsidRPr="003E2230">
        <w:rPr>
          <w:bCs w:val="0"/>
        </w:rPr>
        <w:t>При реализации проектов: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Количество проектов, реализованных в соответст</w:t>
      </w:r>
      <w:r w:rsidR="003E2230">
        <w:rPr>
          <w:b w:val="0"/>
          <w:bCs w:val="0"/>
        </w:rPr>
        <w:t xml:space="preserve">вии с заявкой – 1 название, 2 </w:t>
      </w:r>
      <w:r w:rsidR="003E2230">
        <w:rPr>
          <w:b w:val="0"/>
          <w:bCs w:val="0"/>
        </w:rPr>
        <w:tab/>
      </w:r>
      <w:r>
        <w:rPr>
          <w:b w:val="0"/>
          <w:bCs w:val="0"/>
        </w:rPr>
        <w:t>повтора.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Фактически привлеченная целевая аудитория – более 3 000 человек.</w:t>
      </w:r>
    </w:p>
    <w:p w:rsidR="003E2230" w:rsidRDefault="003E2230">
      <w:pPr>
        <w:ind w:firstLine="709"/>
        <w:rPr>
          <w:b w:val="0"/>
          <w:bCs w:val="0"/>
        </w:rPr>
      </w:pPr>
    </w:p>
    <w:p w:rsidR="009A4865" w:rsidRDefault="00A8661D">
      <w:pPr>
        <w:rPr>
          <w:b w:val="0"/>
          <w:bCs w:val="0"/>
        </w:rPr>
      </w:pPr>
      <w:r w:rsidRPr="003E2230">
        <w:rPr>
          <w:bCs w:val="0"/>
        </w:rPr>
        <w:t>Страница сайта в информационно-телекоммуникационной сети «Интернет», на котором обеспечивается проведение отбора -</w:t>
      </w:r>
      <w:r>
        <w:rPr>
          <w:b w:val="0"/>
          <w:bCs w:val="0"/>
        </w:rPr>
        <w:t xml:space="preserve"> </w:t>
      </w:r>
      <w:hyperlink r:id="rId8" w:history="1">
        <w:r>
          <w:rPr>
            <w:rStyle w:val="Hyperlink1"/>
            <w:rFonts w:eastAsia="Arial Unicode MS"/>
            <w:b w:val="0"/>
            <w:bCs w:val="0"/>
          </w:rPr>
          <w:t>https://mincult.tatarstan.ru</w:t>
        </w:r>
      </w:hyperlink>
      <w:r>
        <w:rPr>
          <w:b w:val="0"/>
          <w:bCs w:val="0"/>
        </w:rPr>
        <w:t>.</w:t>
      </w:r>
    </w:p>
    <w:p w:rsidR="003E2230" w:rsidRDefault="003E2230">
      <w:pPr>
        <w:rPr>
          <w:b w:val="0"/>
          <w:bCs w:val="0"/>
        </w:rPr>
      </w:pPr>
    </w:p>
    <w:p w:rsidR="009A4865" w:rsidRPr="003E2230" w:rsidRDefault="00A8661D">
      <w:pPr>
        <w:rPr>
          <w:bCs w:val="0"/>
        </w:rPr>
      </w:pPr>
      <w:r w:rsidRPr="003E2230">
        <w:rPr>
          <w:bCs w:val="0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некоммерческая организация допускается к участию в отборе, если на первое число месяца, предшествующего месяцу, в котором размещено объявление о проведении отбора, соответствует следующим требованиям: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 законодательством Российской Федерации о налогах и сборах;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</w:t>
      </w:r>
      <w:r w:rsidR="003E2230">
        <w:rPr>
          <w:b w:val="0"/>
          <w:bCs w:val="0"/>
        </w:rPr>
        <w:t xml:space="preserve"> </w:t>
      </w:r>
      <w:r>
        <w:rPr>
          <w:b w:val="0"/>
          <w:bCs w:val="0"/>
        </w:rPr>
        <w:t>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не находится в процессе реорганизации (за исключением реорганизации в 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 xml:space="preserve">в реестре дисквалифицированных лиц отсутствуют сведения о дисквалифицированных руководителе, членах коллегиального исполнительного </w:t>
      </w:r>
      <w:r>
        <w:rPr>
          <w:b w:val="0"/>
          <w:bCs w:val="0"/>
        </w:rPr>
        <w:lastRenderedPageBreak/>
        <w:t>органа, лице, исполняющем функции единоличного исполнительного органа, или главном бухгалтере некоммерческой организации;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 предоставления информации при проведении финансовых операций (офшорные зоны), в совокупности превышает 50 процентов;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не получает средства из бюджета Республики Татарстан на основании иных нормативных правовых актов Республики Татарстан на вышеуказанные цели.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Для участия в отборе некоммерческая организация представляет в Министерство: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а)</w:t>
      </w:r>
      <w:r w:rsidR="003E2230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заявку по форме согласно </w:t>
      </w:r>
      <w:proofErr w:type="gramStart"/>
      <w:r>
        <w:rPr>
          <w:b w:val="0"/>
          <w:bCs w:val="0"/>
        </w:rPr>
        <w:t>приложению</w:t>
      </w:r>
      <w:proofErr w:type="gramEnd"/>
      <w:r>
        <w:rPr>
          <w:b w:val="0"/>
          <w:bCs w:val="0"/>
        </w:rPr>
        <w:t xml:space="preserve"> к настоящему Порядку, которая включает: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в случае предоставления субсидии на финансовое обеспечение затрат – смету расходов на цели, указанные в пункте 1 настоящего Порядка, утвержденную руководителем некоммерческой организации;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пункте 1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9A4865" w:rsidRDefault="00A8661D">
      <w:pPr>
        <w:ind w:firstLine="709"/>
        <w:rPr>
          <w:b w:val="0"/>
          <w:bCs w:val="0"/>
        </w:rPr>
      </w:pPr>
      <w:bookmarkStart w:id="1" w:name="Par5"/>
      <w:bookmarkEnd w:id="1"/>
      <w:r>
        <w:rPr>
          <w:b w:val="0"/>
          <w:bCs w:val="0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lastRenderedPageBreak/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гарантийное письмо, подписанное руководителем некоммерческой организации, подтверждающее, что некоммерческая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процентов, на первое число месяца, предшествующего месяцу, в котором размещено объявление о проведении отбора;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 xml:space="preserve"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</w:t>
      </w:r>
      <w:r>
        <w:rPr>
          <w:b w:val="0"/>
          <w:bCs w:val="0"/>
        </w:rPr>
        <w:lastRenderedPageBreak/>
        <w:t>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9A4865" w:rsidRDefault="009A4865">
      <w:pPr>
        <w:ind w:firstLine="709"/>
        <w:rPr>
          <w:b w:val="0"/>
          <w:bCs w:val="0"/>
        </w:rPr>
      </w:pP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Основаниями для отклонения заявки на стадии рассмотрения заявок являются: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несоответствие некоммерческой организации вышеуказанным требованиям;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недостоверность представленной некоммерческой организацией информации, в том числе информ</w:t>
      </w:r>
      <w:r w:rsidR="003E2230">
        <w:rPr>
          <w:b w:val="0"/>
          <w:bCs w:val="0"/>
        </w:rPr>
        <w:t xml:space="preserve">ации о месте нахождении и адрес </w:t>
      </w:r>
      <w:r>
        <w:rPr>
          <w:b w:val="0"/>
          <w:bCs w:val="0"/>
        </w:rPr>
        <w:t>юридического лица;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подача заявки после даты и (или) времени, определенных для подачи заявок;</w:t>
      </w:r>
    </w:p>
    <w:p w:rsidR="009A4865" w:rsidRDefault="00A8661D" w:rsidP="003E2230">
      <w:pPr>
        <w:ind w:firstLine="709"/>
        <w:rPr>
          <w:b w:val="0"/>
          <w:bCs w:val="0"/>
        </w:rPr>
      </w:pPr>
      <w:r>
        <w:rPr>
          <w:b w:val="0"/>
          <w:bCs w:val="0"/>
        </w:rPr>
        <w:t>отсутствие бюджетных ассигнований и лимитов бюджетных обязательств, доведенных Министерству на вышеуказанные цели.</w:t>
      </w:r>
    </w:p>
    <w:p w:rsidR="009A4865" w:rsidRDefault="009A4865">
      <w:pPr>
        <w:ind w:firstLine="709"/>
        <w:rPr>
          <w:b w:val="0"/>
          <w:bCs w:val="0"/>
        </w:rPr>
      </w:pP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Правил рассмотрения заявок: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6 человек в составе председателя Комиссии и членов Комиссии из числа сотрудников Министерства.  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установленным требованиям.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lastRenderedPageBreak/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несоответствие представленных получателем субсидии документов требованиям</w:t>
      </w:r>
      <w:r w:rsidR="003E2230">
        <w:rPr>
          <w:b w:val="0"/>
          <w:bCs w:val="0"/>
        </w:rPr>
        <w:t xml:space="preserve"> </w:t>
      </w:r>
      <w:r>
        <w:rPr>
          <w:b w:val="0"/>
          <w:bCs w:val="0"/>
        </w:rPr>
        <w:t>или непредставление (представление не в полном объеме) указанных документов;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установление факта недостоверности информации, содержащейся в документах, представленных получателем субсидии.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дата, время и место проведения рассмотрения заявок;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информация о некоммерческих организациях, заявки которых были рассмотрены;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9A4865" w:rsidRDefault="009A4865">
      <w:pPr>
        <w:rPr>
          <w:b w:val="0"/>
          <w:bCs w:val="0"/>
        </w:rPr>
      </w:pP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 w:rsidR="003E2230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некоммерческая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9A4865" w:rsidRDefault="009A4865">
      <w:pPr>
        <w:rPr>
          <w:b w:val="0"/>
          <w:bCs w:val="0"/>
        </w:rPr>
      </w:pP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E2230">
        <w:rPr>
          <w:b w:val="0"/>
          <w:bCs w:val="0"/>
        </w:rPr>
        <w:t xml:space="preserve"> </w:t>
      </w:r>
      <w:r>
        <w:rPr>
          <w:b w:val="0"/>
          <w:bCs w:val="0"/>
        </w:rPr>
        <w:t>разъяснения положений объявления о проведении отбора осуществляется по телефону … в день обращения.</w:t>
      </w:r>
    </w:p>
    <w:p w:rsidR="009A4865" w:rsidRDefault="009A4865">
      <w:pPr>
        <w:ind w:firstLine="709"/>
        <w:rPr>
          <w:b w:val="0"/>
          <w:bCs w:val="0"/>
        </w:rPr>
      </w:pP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Срок, в течение которого победитель отбора должен подписать соглашение о предоставлении субсидии:</w:t>
      </w:r>
      <w:r w:rsidR="003E2230">
        <w:rPr>
          <w:b w:val="0"/>
          <w:bCs w:val="0"/>
        </w:rPr>
        <w:t xml:space="preserve"> </w:t>
      </w:r>
      <w:r>
        <w:rPr>
          <w:b w:val="0"/>
          <w:bCs w:val="0"/>
        </w:rPr>
        <w:t>соглашение заключается в пятидневный срок, исчисляемый в рабочих днях, со дня принятия решения о предоставлении субсидии.</w:t>
      </w:r>
    </w:p>
    <w:p w:rsidR="009A4865" w:rsidRDefault="009A4865">
      <w:pPr>
        <w:rPr>
          <w:b w:val="0"/>
          <w:bCs w:val="0"/>
        </w:rPr>
      </w:pP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Условия признания победителя отбора уклонившимся от заключения соглашения:</w:t>
      </w:r>
      <w:r w:rsidR="003E2230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в случае не подписания соглашения о предоставлении субсидии со стороны победителя отбора в пятидневный срок, исчисляемый в рабочих днях, со </w:t>
      </w:r>
      <w:r>
        <w:rPr>
          <w:b w:val="0"/>
          <w:bCs w:val="0"/>
        </w:rPr>
        <w:lastRenderedPageBreak/>
        <w:t xml:space="preserve">дня принятия решения о предоставлении субсидии без объяснения причины, победитель отбора считается уклонившимся от заключения соглашения. </w:t>
      </w:r>
    </w:p>
    <w:p w:rsidR="009A4865" w:rsidRDefault="009A4865">
      <w:pPr>
        <w:rPr>
          <w:b w:val="0"/>
          <w:bCs w:val="0"/>
        </w:rPr>
      </w:pPr>
    </w:p>
    <w:p w:rsidR="009A4865" w:rsidRDefault="00A8661D">
      <w:pPr>
        <w:ind w:firstLine="709"/>
        <w:rPr>
          <w:b w:val="0"/>
          <w:bCs w:val="0"/>
        </w:rPr>
      </w:pPr>
      <w:r>
        <w:rPr>
          <w:b w:val="0"/>
          <w:bCs w:val="0"/>
        </w:rPr>
        <w:t>Дата размещения результатов отбора на официальном сайте: не позднее 14-го календарного дня, следующего за днем определения победителя отбора.</w:t>
      </w: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Default="003E2230">
      <w:pPr>
        <w:ind w:firstLine="709"/>
        <w:rPr>
          <w:b w:val="0"/>
          <w:bCs w:val="0"/>
        </w:rPr>
      </w:pPr>
    </w:p>
    <w:p w:rsidR="003E2230" w:rsidRPr="00ED1EB6" w:rsidRDefault="003E2230" w:rsidP="003E2230">
      <w:pPr>
        <w:autoSpaceDE w:val="0"/>
        <w:autoSpaceDN w:val="0"/>
        <w:adjustRightInd w:val="0"/>
        <w:ind w:left="5670"/>
        <w:jc w:val="right"/>
        <w:outlineLvl w:val="0"/>
        <w:rPr>
          <w:rFonts w:cs="Times New Roman"/>
        </w:rPr>
      </w:pPr>
      <w:r w:rsidRPr="00ED1EB6">
        <w:rPr>
          <w:rFonts w:cs="Times New Roman"/>
        </w:rPr>
        <w:lastRenderedPageBreak/>
        <w:t>Приложение</w:t>
      </w:r>
    </w:p>
    <w:p w:rsidR="003E2230" w:rsidRDefault="003E2230" w:rsidP="003E2230">
      <w:pPr>
        <w:autoSpaceDE w:val="0"/>
        <w:autoSpaceDN w:val="0"/>
        <w:adjustRightInd w:val="0"/>
        <w:ind w:left="5670"/>
        <w:jc w:val="right"/>
        <w:rPr>
          <w:rFonts w:cs="Times New Roman"/>
        </w:rPr>
      </w:pPr>
      <w:r w:rsidRPr="00ED1EB6">
        <w:rPr>
          <w:rFonts w:cs="Times New Roman"/>
        </w:rPr>
        <w:t xml:space="preserve">к Порядку </w:t>
      </w:r>
      <w:r w:rsidRPr="00525210">
        <w:rPr>
          <w:rFonts w:cs="Times New Roman"/>
        </w:rPr>
        <w:t>предоставления субсидий из бюджета Республики Татарс</w:t>
      </w:r>
      <w:r>
        <w:rPr>
          <w:rFonts w:cs="Times New Roman"/>
        </w:rPr>
        <w:t>тан некоммерческим организациям</w:t>
      </w:r>
    </w:p>
    <w:p w:rsidR="003E2230" w:rsidRPr="008006E0" w:rsidRDefault="003E2230" w:rsidP="003E2230">
      <w:pPr>
        <w:autoSpaceDE w:val="0"/>
        <w:autoSpaceDN w:val="0"/>
        <w:adjustRightInd w:val="0"/>
        <w:ind w:left="5670"/>
        <w:jc w:val="right"/>
        <w:rPr>
          <w:rFonts w:cs="Times New Roman"/>
        </w:rPr>
      </w:pPr>
      <w:r w:rsidRPr="00525210">
        <w:rPr>
          <w:rFonts w:cs="Times New Roman"/>
        </w:rPr>
        <w:t>на финансовое обеспечение (</w:t>
      </w:r>
      <w:r>
        <w:rPr>
          <w:rFonts w:cs="Times New Roman"/>
        </w:rPr>
        <w:t xml:space="preserve">возмещение) затрат, связанных </w:t>
      </w:r>
      <w:r w:rsidRPr="00F24823">
        <w:rPr>
          <w:rFonts w:cs="Times New Roman"/>
        </w:rPr>
        <w:t>с реализацией проектов, организацией и проведением</w:t>
      </w:r>
      <w:r w:rsidRPr="00525210">
        <w:rPr>
          <w:rFonts w:cs="Times New Roman"/>
        </w:rPr>
        <w:t xml:space="preserve"> мероприятий в сфере культуры</w:t>
      </w:r>
      <w:r w:rsidRPr="000F2F37">
        <w:rPr>
          <w:rFonts w:cs="Times New Roman"/>
          <w:color w:val="000000" w:themeColor="text1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3E2230" w:rsidRPr="00ED1EB6" w:rsidRDefault="003E2230" w:rsidP="003E2230">
      <w:pPr>
        <w:autoSpaceDE w:val="0"/>
        <w:autoSpaceDN w:val="0"/>
        <w:adjustRightInd w:val="0"/>
        <w:ind w:left="5670"/>
        <w:jc w:val="right"/>
        <w:rPr>
          <w:rFonts w:cs="Times New Roman"/>
        </w:rPr>
      </w:pPr>
    </w:p>
    <w:p w:rsidR="003E2230" w:rsidRDefault="003E2230" w:rsidP="003E2230">
      <w:pPr>
        <w:autoSpaceDE w:val="0"/>
        <w:autoSpaceDN w:val="0"/>
        <w:adjustRightInd w:val="0"/>
        <w:ind w:left="5670"/>
        <w:jc w:val="right"/>
        <w:rPr>
          <w:rFonts w:cs="Times New Roman"/>
        </w:rPr>
      </w:pPr>
      <w:r w:rsidRPr="00ED1EB6">
        <w:rPr>
          <w:rFonts w:cs="Times New Roman"/>
        </w:rPr>
        <w:t>Форма</w:t>
      </w:r>
    </w:p>
    <w:p w:rsidR="003E2230" w:rsidRDefault="003E2230" w:rsidP="003E2230">
      <w:pPr>
        <w:autoSpaceDE w:val="0"/>
        <w:autoSpaceDN w:val="0"/>
        <w:adjustRightInd w:val="0"/>
        <w:ind w:left="5670"/>
        <w:jc w:val="right"/>
        <w:rPr>
          <w:rFonts w:cs="Times New Roman"/>
        </w:rPr>
      </w:pPr>
    </w:p>
    <w:p w:rsidR="003E2230" w:rsidRPr="00ED1EB6" w:rsidRDefault="003E2230" w:rsidP="003E22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3E2230" w:rsidRPr="00ED1EB6" w:rsidRDefault="003E2230" w:rsidP="003E22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3E2230" w:rsidRPr="00ED1EB6" w:rsidRDefault="003E2230" w:rsidP="003E22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3E2230" w:rsidRPr="00ED1EB6" w:rsidRDefault="003E2230" w:rsidP="003E22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E2230" w:rsidRPr="00ED1EB6" w:rsidRDefault="003E2230" w:rsidP="003E22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E2230" w:rsidRPr="00ED1EB6" w:rsidRDefault="003E2230" w:rsidP="003E22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3E2230" w:rsidRPr="00ED1EB6" w:rsidRDefault="003E2230" w:rsidP="003E22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2230" w:rsidRPr="00ED1EB6" w:rsidRDefault="003E2230" w:rsidP="003E22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3E2230" w:rsidRPr="00ED1EB6" w:rsidRDefault="003E2230" w:rsidP="003E22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3E2230" w:rsidRPr="00ED1EB6" w:rsidRDefault="003E2230" w:rsidP="003E22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E2230" w:rsidRPr="00ED1EB6" w:rsidRDefault="003E2230" w:rsidP="003E22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3E2230" w:rsidRPr="00ED1EB6" w:rsidRDefault="003E2230" w:rsidP="003E22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3E2230" w:rsidRPr="00ED1EB6" w:rsidRDefault="003E2230" w:rsidP="003E22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3E2230" w:rsidRDefault="003E2230" w:rsidP="003E22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3E2230" w:rsidRPr="00ED1EB6" w:rsidRDefault="003E2230" w:rsidP="003E22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3E2230" w:rsidRPr="00ED1EB6" w:rsidRDefault="003E2230" w:rsidP="003E22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230" w:rsidRPr="00ED1EB6" w:rsidRDefault="003E2230" w:rsidP="003E22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3E2230" w:rsidRPr="00ED1EB6" w:rsidRDefault="003E2230" w:rsidP="003E22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3E2230" w:rsidRDefault="003E2230" w:rsidP="003E2230">
      <w:pPr>
        <w:ind w:firstLine="709"/>
        <w:rPr>
          <w:rFonts w:cs="Times New Roman"/>
        </w:rPr>
      </w:pPr>
    </w:p>
    <w:p w:rsidR="003E2230" w:rsidRPr="00ED1EB6" w:rsidRDefault="003E2230" w:rsidP="003E2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3E2230" w:rsidRDefault="003E2230" w:rsidP="003E22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3E2230" w:rsidRPr="00ED1EB6" w:rsidRDefault="003E2230" w:rsidP="003E2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3E2230" w:rsidRPr="003E2230" w:rsidTr="009809D0">
        <w:trPr>
          <w:jc w:val="center"/>
        </w:trPr>
        <w:tc>
          <w:tcPr>
            <w:tcW w:w="594" w:type="dxa"/>
          </w:tcPr>
          <w:p w:rsidR="003E2230" w:rsidRPr="003E2230" w:rsidRDefault="003E2230" w:rsidP="009809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 w:val="0"/>
              </w:rPr>
            </w:pPr>
            <w:r w:rsidRPr="003E2230">
              <w:rPr>
                <w:rFonts w:eastAsia="Times New Roman" w:cs="Times New Roman"/>
                <w:b w:val="0"/>
              </w:rPr>
              <w:t>№ п/п</w:t>
            </w:r>
          </w:p>
        </w:tc>
        <w:tc>
          <w:tcPr>
            <w:tcW w:w="5726" w:type="dxa"/>
          </w:tcPr>
          <w:p w:rsidR="003E2230" w:rsidRPr="003E2230" w:rsidRDefault="003E2230" w:rsidP="009809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 w:val="0"/>
              </w:rPr>
            </w:pPr>
            <w:r w:rsidRPr="003E2230">
              <w:rPr>
                <w:rFonts w:eastAsia="Times New Roman" w:cs="Times New Roman"/>
                <w:b w:val="0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3E2230" w:rsidRPr="003E2230" w:rsidRDefault="003E2230" w:rsidP="009809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 w:val="0"/>
              </w:rPr>
            </w:pPr>
            <w:r w:rsidRPr="003E2230">
              <w:rPr>
                <w:rFonts w:eastAsia="Times New Roman" w:cs="Times New Roman"/>
                <w:b w:val="0"/>
              </w:rPr>
              <w:t>Количество листов</w:t>
            </w:r>
          </w:p>
        </w:tc>
      </w:tr>
      <w:tr w:rsidR="003E2230" w:rsidRPr="003E2230" w:rsidTr="009809D0">
        <w:trPr>
          <w:jc w:val="center"/>
        </w:trPr>
        <w:tc>
          <w:tcPr>
            <w:tcW w:w="594" w:type="dxa"/>
          </w:tcPr>
          <w:p w:rsidR="003E2230" w:rsidRPr="003E2230" w:rsidRDefault="003E2230" w:rsidP="009809D0">
            <w:pPr>
              <w:widowControl w:val="0"/>
              <w:autoSpaceDE w:val="0"/>
              <w:autoSpaceDN w:val="0"/>
              <w:rPr>
                <w:rFonts w:eastAsia="Times New Roman" w:cs="Times New Roman"/>
                <w:b w:val="0"/>
              </w:rPr>
            </w:pPr>
          </w:p>
        </w:tc>
        <w:tc>
          <w:tcPr>
            <w:tcW w:w="5726" w:type="dxa"/>
          </w:tcPr>
          <w:p w:rsidR="003E2230" w:rsidRPr="003E2230" w:rsidRDefault="003E2230" w:rsidP="009809D0">
            <w:pPr>
              <w:widowControl w:val="0"/>
              <w:autoSpaceDE w:val="0"/>
              <w:autoSpaceDN w:val="0"/>
              <w:rPr>
                <w:rFonts w:eastAsia="Times New Roman" w:cs="Times New Roman"/>
                <w:b w:val="0"/>
              </w:rPr>
            </w:pPr>
          </w:p>
        </w:tc>
        <w:tc>
          <w:tcPr>
            <w:tcW w:w="2687" w:type="dxa"/>
          </w:tcPr>
          <w:p w:rsidR="003E2230" w:rsidRPr="003E2230" w:rsidRDefault="003E2230" w:rsidP="009809D0">
            <w:pPr>
              <w:widowControl w:val="0"/>
              <w:autoSpaceDE w:val="0"/>
              <w:autoSpaceDN w:val="0"/>
              <w:rPr>
                <w:rFonts w:eastAsia="Times New Roman" w:cs="Times New Roman"/>
                <w:b w:val="0"/>
              </w:rPr>
            </w:pPr>
          </w:p>
        </w:tc>
      </w:tr>
      <w:tr w:rsidR="003E2230" w:rsidRPr="003E2230" w:rsidTr="009809D0">
        <w:trPr>
          <w:jc w:val="center"/>
        </w:trPr>
        <w:tc>
          <w:tcPr>
            <w:tcW w:w="594" w:type="dxa"/>
          </w:tcPr>
          <w:p w:rsidR="003E2230" w:rsidRPr="003E2230" w:rsidRDefault="003E2230" w:rsidP="009809D0">
            <w:pPr>
              <w:widowControl w:val="0"/>
              <w:autoSpaceDE w:val="0"/>
              <w:autoSpaceDN w:val="0"/>
              <w:rPr>
                <w:rFonts w:eastAsia="Times New Roman" w:cs="Times New Roman"/>
                <w:b w:val="0"/>
              </w:rPr>
            </w:pPr>
          </w:p>
        </w:tc>
        <w:tc>
          <w:tcPr>
            <w:tcW w:w="5726" w:type="dxa"/>
          </w:tcPr>
          <w:p w:rsidR="003E2230" w:rsidRPr="003E2230" w:rsidRDefault="003E2230" w:rsidP="009809D0">
            <w:pPr>
              <w:widowControl w:val="0"/>
              <w:autoSpaceDE w:val="0"/>
              <w:autoSpaceDN w:val="0"/>
              <w:rPr>
                <w:rFonts w:eastAsia="Times New Roman" w:cs="Times New Roman"/>
                <w:b w:val="0"/>
              </w:rPr>
            </w:pPr>
          </w:p>
        </w:tc>
        <w:tc>
          <w:tcPr>
            <w:tcW w:w="2687" w:type="dxa"/>
          </w:tcPr>
          <w:p w:rsidR="003E2230" w:rsidRPr="003E2230" w:rsidRDefault="003E2230" w:rsidP="009809D0">
            <w:pPr>
              <w:widowControl w:val="0"/>
              <w:autoSpaceDE w:val="0"/>
              <w:autoSpaceDN w:val="0"/>
              <w:rPr>
                <w:rFonts w:eastAsia="Times New Roman" w:cs="Times New Roman"/>
                <w:b w:val="0"/>
              </w:rPr>
            </w:pPr>
          </w:p>
        </w:tc>
      </w:tr>
    </w:tbl>
    <w:p w:rsidR="003E2230" w:rsidRPr="003E2230" w:rsidRDefault="003E2230" w:rsidP="003E2230">
      <w:pPr>
        <w:widowControl w:val="0"/>
        <w:autoSpaceDE w:val="0"/>
        <w:autoSpaceDN w:val="0"/>
        <w:rPr>
          <w:rFonts w:eastAsia="Times New Roman" w:cs="Times New Roman"/>
          <w:b w:val="0"/>
        </w:rPr>
      </w:pPr>
    </w:p>
    <w:p w:rsidR="003E2230" w:rsidRPr="003E2230" w:rsidRDefault="003E2230" w:rsidP="003E2230">
      <w:pPr>
        <w:widowControl w:val="0"/>
        <w:autoSpaceDE w:val="0"/>
        <w:autoSpaceDN w:val="0"/>
        <w:rPr>
          <w:rFonts w:eastAsia="Times New Roman" w:cs="Times New Roman"/>
          <w:b w:val="0"/>
        </w:rPr>
      </w:pPr>
      <w:r w:rsidRPr="003E2230">
        <w:rPr>
          <w:rFonts w:eastAsia="Times New Roman" w:cs="Times New Roman"/>
          <w:b w:val="0"/>
        </w:rPr>
        <w:t xml:space="preserve">        Руководитель                       ________________/_____________________</w:t>
      </w:r>
    </w:p>
    <w:p w:rsidR="003E2230" w:rsidRPr="003E2230" w:rsidRDefault="003E2230" w:rsidP="003E2230">
      <w:pPr>
        <w:widowControl w:val="0"/>
        <w:autoSpaceDE w:val="0"/>
        <w:autoSpaceDN w:val="0"/>
        <w:rPr>
          <w:rFonts w:eastAsia="Times New Roman" w:cs="Times New Roman"/>
          <w:b w:val="0"/>
        </w:rPr>
      </w:pPr>
      <w:r w:rsidRPr="003E2230">
        <w:rPr>
          <w:rFonts w:eastAsia="Times New Roman" w:cs="Times New Roman"/>
          <w:b w:val="0"/>
        </w:rPr>
        <w:t xml:space="preserve">                                      (</w:t>
      </w:r>
      <w:proofErr w:type="gramStart"/>
      <w:r w:rsidRPr="003E2230">
        <w:rPr>
          <w:rFonts w:eastAsia="Times New Roman" w:cs="Times New Roman"/>
          <w:b w:val="0"/>
        </w:rPr>
        <w:t xml:space="preserve">подпись)   </w:t>
      </w:r>
      <w:proofErr w:type="gramEnd"/>
      <w:r w:rsidRPr="003E2230">
        <w:rPr>
          <w:rFonts w:eastAsia="Times New Roman" w:cs="Times New Roman"/>
          <w:b w:val="0"/>
        </w:rPr>
        <w:t xml:space="preserve">   (расшифровка подписи)</w:t>
      </w:r>
    </w:p>
    <w:p w:rsidR="003E2230" w:rsidRPr="003E2230" w:rsidRDefault="003E2230" w:rsidP="003E2230">
      <w:pPr>
        <w:widowControl w:val="0"/>
        <w:autoSpaceDE w:val="0"/>
        <w:autoSpaceDN w:val="0"/>
        <w:rPr>
          <w:rFonts w:eastAsia="Times New Roman" w:cs="Times New Roman"/>
          <w:b w:val="0"/>
        </w:rPr>
      </w:pPr>
    </w:p>
    <w:p w:rsidR="003E2230" w:rsidRPr="003E2230" w:rsidRDefault="003E2230" w:rsidP="003E2230">
      <w:pPr>
        <w:ind w:firstLine="709"/>
        <w:rPr>
          <w:b w:val="0"/>
        </w:rPr>
      </w:pPr>
      <w:r w:rsidRPr="003E2230">
        <w:rPr>
          <w:rFonts w:eastAsia="Times New Roman" w:cs="Times New Roman"/>
          <w:b w:val="0"/>
        </w:rPr>
        <w:t xml:space="preserve">                                    М.П.</w:t>
      </w:r>
    </w:p>
    <w:sectPr w:rsidR="003E2230" w:rsidRPr="003E2230" w:rsidSect="009A4865">
      <w:headerReference w:type="default" r:id="rId9"/>
      <w:footerReference w:type="default" r:id="rId10"/>
      <w:pgSz w:w="11900" w:h="16840"/>
      <w:pgMar w:top="1134" w:right="566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CA7" w:rsidRDefault="00C04CA7" w:rsidP="009A4865">
      <w:r>
        <w:separator/>
      </w:r>
    </w:p>
  </w:endnote>
  <w:endnote w:type="continuationSeparator" w:id="0">
    <w:p w:rsidR="00C04CA7" w:rsidRDefault="00C04CA7" w:rsidP="009A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865" w:rsidRDefault="009A4865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CA7" w:rsidRDefault="00C04CA7" w:rsidP="009A4865">
      <w:r>
        <w:separator/>
      </w:r>
    </w:p>
  </w:footnote>
  <w:footnote w:type="continuationSeparator" w:id="0">
    <w:p w:rsidR="00C04CA7" w:rsidRDefault="00C04CA7" w:rsidP="009A4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865" w:rsidRDefault="009A4865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36697"/>
    <w:multiLevelType w:val="hybridMultilevel"/>
    <w:tmpl w:val="E48C5250"/>
    <w:styleLink w:val="Numbered"/>
    <w:lvl w:ilvl="0" w:tplc="31E2F240">
      <w:start w:val="1"/>
      <w:numFmt w:val="decimal"/>
      <w:lvlText w:val="%1."/>
      <w:lvlJc w:val="left"/>
      <w:pPr>
        <w:tabs>
          <w:tab w:val="num" w:pos="1003"/>
        </w:tabs>
        <w:ind w:left="2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6611A0">
      <w:start w:val="1"/>
      <w:numFmt w:val="decimal"/>
      <w:lvlText w:val="%2."/>
      <w:lvlJc w:val="left"/>
      <w:pPr>
        <w:tabs>
          <w:tab w:val="num" w:pos="1803"/>
        </w:tabs>
        <w:ind w:left="10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745D38">
      <w:start w:val="1"/>
      <w:numFmt w:val="decimal"/>
      <w:lvlText w:val="%3."/>
      <w:lvlJc w:val="left"/>
      <w:pPr>
        <w:tabs>
          <w:tab w:val="num" w:pos="2603"/>
        </w:tabs>
        <w:ind w:left="18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3CBEC0">
      <w:start w:val="1"/>
      <w:numFmt w:val="decimal"/>
      <w:lvlText w:val="%4."/>
      <w:lvlJc w:val="left"/>
      <w:pPr>
        <w:tabs>
          <w:tab w:val="num" w:pos="3403"/>
        </w:tabs>
        <w:ind w:left="26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2EF002">
      <w:start w:val="1"/>
      <w:numFmt w:val="decimal"/>
      <w:lvlText w:val="%5."/>
      <w:lvlJc w:val="left"/>
      <w:pPr>
        <w:tabs>
          <w:tab w:val="num" w:pos="4203"/>
        </w:tabs>
        <w:ind w:left="34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0883AE">
      <w:start w:val="1"/>
      <w:numFmt w:val="decimal"/>
      <w:lvlText w:val="%6."/>
      <w:lvlJc w:val="left"/>
      <w:pPr>
        <w:tabs>
          <w:tab w:val="num" w:pos="5003"/>
        </w:tabs>
        <w:ind w:left="42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0CCEC2">
      <w:start w:val="1"/>
      <w:numFmt w:val="decimal"/>
      <w:lvlText w:val="%7."/>
      <w:lvlJc w:val="left"/>
      <w:pPr>
        <w:tabs>
          <w:tab w:val="num" w:pos="5803"/>
        </w:tabs>
        <w:ind w:left="50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EC0FD2">
      <w:start w:val="1"/>
      <w:numFmt w:val="decimal"/>
      <w:lvlText w:val="%8."/>
      <w:lvlJc w:val="left"/>
      <w:pPr>
        <w:tabs>
          <w:tab w:val="num" w:pos="6603"/>
        </w:tabs>
        <w:ind w:left="58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727D90">
      <w:start w:val="1"/>
      <w:numFmt w:val="decimal"/>
      <w:lvlText w:val="%9."/>
      <w:lvlJc w:val="left"/>
      <w:pPr>
        <w:tabs>
          <w:tab w:val="num" w:pos="7403"/>
        </w:tabs>
        <w:ind w:left="66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DF84FCB"/>
    <w:multiLevelType w:val="hybridMultilevel"/>
    <w:tmpl w:val="E9F61294"/>
    <w:styleLink w:val="ImportedStyle2"/>
    <w:lvl w:ilvl="0" w:tplc="29C27B1A">
      <w:start w:val="1"/>
      <w:numFmt w:val="decimal"/>
      <w:lvlText w:val="%1."/>
      <w:lvlJc w:val="left"/>
      <w:pPr>
        <w:tabs>
          <w:tab w:val="left" w:pos="2160"/>
        </w:tabs>
        <w:ind w:left="722" w:hanging="7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BC8416">
      <w:start w:val="1"/>
      <w:numFmt w:val="decimal"/>
      <w:lvlText w:val="%2."/>
      <w:lvlJc w:val="left"/>
      <w:pPr>
        <w:tabs>
          <w:tab w:val="left" w:pos="2160"/>
        </w:tabs>
        <w:ind w:left="722" w:hanging="7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74C8AC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BED518">
      <w:start w:val="1"/>
      <w:numFmt w:val="decimal"/>
      <w:lvlText w:val="%4."/>
      <w:lvlJc w:val="left"/>
      <w:pPr>
        <w:tabs>
          <w:tab w:val="left" w:pos="21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0A38E0">
      <w:start w:val="1"/>
      <w:numFmt w:val="decimal"/>
      <w:lvlText w:val="%5."/>
      <w:lvlJc w:val="left"/>
      <w:pPr>
        <w:tabs>
          <w:tab w:val="left" w:pos="21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503DC6">
      <w:start w:val="1"/>
      <w:numFmt w:val="decimal"/>
      <w:lvlText w:val="%6."/>
      <w:lvlJc w:val="left"/>
      <w:pPr>
        <w:tabs>
          <w:tab w:val="left" w:pos="216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CE6BEC">
      <w:start w:val="1"/>
      <w:numFmt w:val="decimal"/>
      <w:lvlText w:val="%7."/>
      <w:lvlJc w:val="left"/>
      <w:pPr>
        <w:tabs>
          <w:tab w:val="left" w:pos="21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F8FDB4">
      <w:start w:val="1"/>
      <w:numFmt w:val="decimal"/>
      <w:lvlText w:val="%8."/>
      <w:lvlJc w:val="left"/>
      <w:pPr>
        <w:tabs>
          <w:tab w:val="left" w:pos="21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186E20">
      <w:start w:val="1"/>
      <w:numFmt w:val="decimal"/>
      <w:lvlText w:val="%9."/>
      <w:lvlJc w:val="left"/>
      <w:pPr>
        <w:tabs>
          <w:tab w:val="left" w:pos="216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1E316E8"/>
    <w:multiLevelType w:val="hybridMultilevel"/>
    <w:tmpl w:val="E9F61294"/>
    <w:numStyleLink w:val="ImportedStyle2"/>
  </w:abstractNum>
  <w:abstractNum w:abstractNumId="3" w15:restartNumberingAfterBreak="0">
    <w:nsid w:val="3D470027"/>
    <w:multiLevelType w:val="hybridMultilevel"/>
    <w:tmpl w:val="E48C5250"/>
    <w:numStyleLink w:val="Numbered"/>
  </w:abstractNum>
  <w:num w:numId="1">
    <w:abstractNumId w:val="0"/>
  </w:num>
  <w:num w:numId="2">
    <w:abstractNumId w:val="3"/>
  </w:num>
  <w:num w:numId="3">
    <w:abstractNumId w:val="3"/>
    <w:lvlOverride w:ilvl="0">
      <w:lvl w:ilvl="0" w:tplc="CE90E3B0">
        <w:start w:val="1"/>
        <w:numFmt w:val="decimal"/>
        <w:lvlText w:val="%1."/>
        <w:lvlJc w:val="left"/>
        <w:pPr>
          <w:tabs>
            <w:tab w:val="num" w:pos="1003"/>
          </w:tabs>
          <w:ind w:left="295" w:firstLine="4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FDA762A">
        <w:start w:val="1"/>
        <w:numFmt w:val="decimal"/>
        <w:lvlText w:val="%2."/>
        <w:lvlJc w:val="left"/>
        <w:pPr>
          <w:tabs>
            <w:tab w:val="num" w:pos="1803"/>
          </w:tabs>
          <w:ind w:left="1095" w:firstLine="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E924B72">
        <w:start w:val="1"/>
        <w:numFmt w:val="decimal"/>
        <w:lvlText w:val="%3."/>
        <w:lvlJc w:val="left"/>
        <w:pPr>
          <w:tabs>
            <w:tab w:val="num" w:pos="2603"/>
          </w:tabs>
          <w:ind w:left="1895" w:firstLine="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CD45BDA">
        <w:start w:val="1"/>
        <w:numFmt w:val="decimal"/>
        <w:lvlText w:val="%4."/>
        <w:lvlJc w:val="left"/>
        <w:pPr>
          <w:tabs>
            <w:tab w:val="num" w:pos="3403"/>
          </w:tabs>
          <w:ind w:left="2695" w:firstLine="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BC45714">
        <w:start w:val="1"/>
        <w:numFmt w:val="decimal"/>
        <w:lvlText w:val="%5."/>
        <w:lvlJc w:val="left"/>
        <w:pPr>
          <w:tabs>
            <w:tab w:val="num" w:pos="4203"/>
          </w:tabs>
          <w:ind w:left="3495" w:firstLine="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13EA500">
        <w:start w:val="1"/>
        <w:numFmt w:val="decimal"/>
        <w:lvlText w:val="%6."/>
        <w:lvlJc w:val="left"/>
        <w:pPr>
          <w:tabs>
            <w:tab w:val="num" w:pos="5003"/>
          </w:tabs>
          <w:ind w:left="4295" w:firstLine="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8241A6A">
        <w:start w:val="1"/>
        <w:numFmt w:val="decimal"/>
        <w:lvlText w:val="%7."/>
        <w:lvlJc w:val="left"/>
        <w:pPr>
          <w:tabs>
            <w:tab w:val="num" w:pos="5803"/>
          </w:tabs>
          <w:ind w:left="5095" w:firstLine="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76A0EB4">
        <w:start w:val="1"/>
        <w:numFmt w:val="decimal"/>
        <w:lvlText w:val="%8."/>
        <w:lvlJc w:val="left"/>
        <w:pPr>
          <w:tabs>
            <w:tab w:val="num" w:pos="6603"/>
          </w:tabs>
          <w:ind w:left="5895" w:firstLine="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304A6AE">
        <w:start w:val="1"/>
        <w:numFmt w:val="decimal"/>
        <w:lvlText w:val="%9."/>
        <w:lvlJc w:val="left"/>
        <w:pPr>
          <w:tabs>
            <w:tab w:val="num" w:pos="7403"/>
          </w:tabs>
          <w:ind w:left="6695" w:firstLine="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4865"/>
    <w:rsid w:val="001B3BF3"/>
    <w:rsid w:val="003E2230"/>
    <w:rsid w:val="009A4865"/>
    <w:rsid w:val="00A8661D"/>
    <w:rsid w:val="00C0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5F4C6-C022-482D-A66A-003415A3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A4865"/>
    <w:pPr>
      <w:ind w:firstLine="708"/>
      <w:jc w:val="both"/>
    </w:pPr>
    <w:rPr>
      <w:rFonts w:cs="Arial Unicode MS"/>
      <w:b/>
      <w:bCs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4865"/>
    <w:rPr>
      <w:u w:val="single"/>
    </w:rPr>
  </w:style>
  <w:style w:type="table" w:customStyle="1" w:styleId="TableNormal">
    <w:name w:val="Table Normal"/>
    <w:rsid w:val="009A48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9A486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Link">
    <w:name w:val="Link"/>
    <w:rsid w:val="009A4865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sid w:val="009A48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  <w:style w:type="paragraph" w:customStyle="1" w:styleId="ConsPlusNonformat">
    <w:name w:val="ConsPlusNonformat"/>
    <w:rsid w:val="009A4865"/>
    <w:pPr>
      <w:widowControl w:val="0"/>
    </w:pPr>
    <w:rPr>
      <w:rFonts w:ascii="Courier New" w:hAnsi="Courier New" w:cs="Arial Unicode MS"/>
      <w:color w:val="000000"/>
      <w:u w:color="000000"/>
    </w:rPr>
  </w:style>
  <w:style w:type="numbering" w:customStyle="1" w:styleId="Numbered">
    <w:name w:val="Numbered"/>
    <w:rsid w:val="009A4865"/>
    <w:pPr>
      <w:numPr>
        <w:numId w:val="1"/>
      </w:numPr>
    </w:pPr>
  </w:style>
  <w:style w:type="numbering" w:customStyle="1" w:styleId="ImportedStyle2">
    <w:name w:val="Imported Style 2"/>
    <w:rsid w:val="009A4865"/>
    <w:pPr>
      <w:numPr>
        <w:numId w:val="4"/>
      </w:numPr>
    </w:pPr>
  </w:style>
  <w:style w:type="character" w:customStyle="1" w:styleId="Hyperlink1">
    <w:name w:val="Hyperlink.1"/>
    <w:basedOn w:val="Link"/>
    <w:rsid w:val="009A4865"/>
    <w:rPr>
      <w:rFonts w:ascii="Times New Roman" w:eastAsia="Times New Roman" w:hAnsi="Times New Roman" w:cs="Times New Roman"/>
      <w:outline w:val="0"/>
      <w:color w:val="0563C1"/>
      <w:u w:val="single" w:color="0563C1"/>
    </w:rPr>
  </w:style>
  <w:style w:type="paragraph" w:customStyle="1" w:styleId="ConsPlusNormal">
    <w:name w:val="ConsPlusNormal"/>
    <w:rsid w:val="003E22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Times New Roman" w:hAnsi="Arial" w:cs="Arial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cult.tatarsta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rt@tata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2702</Words>
  <Characters>15404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Хамидуллова Мадина Талгатовна</cp:lastModifiedBy>
  <cp:revision>4</cp:revision>
  <dcterms:created xsi:type="dcterms:W3CDTF">2023-01-09T21:17:00Z</dcterms:created>
  <dcterms:modified xsi:type="dcterms:W3CDTF">2023-02-14T14:54:00Z</dcterms:modified>
</cp:coreProperties>
</file>