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681" w:rsidRDefault="00EA3681">
      <w:pPr>
        <w:outlineLvl w:val="0"/>
        <w:rPr>
          <w:sz w:val="28"/>
        </w:rPr>
      </w:pPr>
    </w:p>
    <w:p w:rsidR="00EA3681" w:rsidRDefault="00F47EEB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Объявление о проведении отбора для предоставления субсидии некоммерческой организации в целях финансового обеспечения (возмещения) затрат, связанных с реализацией проектов, организацией и проведением мероприятий в сфере культура, искусства кинематографии, анимации, популяризации культурного наследия, государс</w:t>
      </w:r>
      <w:r w:rsidR="00375EA3">
        <w:rPr>
          <w:rFonts w:ascii="Times New Roman" w:hAnsi="Times New Roman"/>
          <w:b/>
          <w:color w:val="000000" w:themeColor="text1"/>
          <w:sz w:val="28"/>
        </w:rPr>
        <w:t>твенной национальной политики, в части присуждения</w:t>
      </w:r>
      <w:r>
        <w:rPr>
          <w:rFonts w:ascii="Times New Roman" w:hAnsi="Times New Roman"/>
          <w:b/>
          <w:color w:val="000000" w:themeColor="text1"/>
          <w:sz w:val="28"/>
        </w:rPr>
        <w:t xml:space="preserve"> литературных премии Министерства культуры Республики Татарстан (премия имени </w:t>
      </w:r>
      <w:proofErr w:type="spellStart"/>
      <w:r>
        <w:rPr>
          <w:rFonts w:ascii="Times New Roman" w:hAnsi="Times New Roman"/>
          <w:b/>
          <w:color w:val="000000" w:themeColor="text1"/>
          <w:sz w:val="28"/>
        </w:rPr>
        <w:t>Гаяза</w:t>
      </w:r>
      <w:proofErr w:type="spellEnd"/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</w:rPr>
        <w:t>Исхаки</w:t>
      </w:r>
      <w:proofErr w:type="spellEnd"/>
      <w:r>
        <w:rPr>
          <w:rFonts w:ascii="Times New Roman" w:hAnsi="Times New Roman"/>
          <w:b/>
          <w:color w:val="000000" w:themeColor="text1"/>
          <w:sz w:val="28"/>
        </w:rPr>
        <w:t xml:space="preserve">, премия им. М. Горького, премия имени </w:t>
      </w:r>
      <w:proofErr w:type="spellStart"/>
      <w:r>
        <w:rPr>
          <w:rFonts w:ascii="Times New Roman" w:hAnsi="Times New Roman"/>
          <w:b/>
          <w:color w:val="000000" w:themeColor="text1"/>
          <w:sz w:val="28"/>
        </w:rPr>
        <w:t>Туфана</w:t>
      </w:r>
      <w:proofErr w:type="spellEnd"/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</w:rPr>
        <w:t>Миннуллина</w:t>
      </w:r>
      <w:proofErr w:type="spellEnd"/>
      <w:r>
        <w:rPr>
          <w:rFonts w:ascii="Times New Roman" w:hAnsi="Times New Roman"/>
          <w:b/>
          <w:color w:val="000000" w:themeColor="text1"/>
          <w:sz w:val="28"/>
        </w:rPr>
        <w:t xml:space="preserve">, премия имени </w:t>
      </w:r>
      <w:proofErr w:type="spellStart"/>
      <w:r>
        <w:rPr>
          <w:rFonts w:ascii="Times New Roman" w:hAnsi="Times New Roman"/>
          <w:b/>
          <w:color w:val="000000" w:themeColor="text1"/>
          <w:sz w:val="28"/>
        </w:rPr>
        <w:t>Хади</w:t>
      </w:r>
      <w:proofErr w:type="spellEnd"/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</w:rPr>
        <w:t>Такташа</w:t>
      </w:r>
      <w:proofErr w:type="spellEnd"/>
      <w:r>
        <w:rPr>
          <w:rFonts w:ascii="Times New Roman" w:hAnsi="Times New Roman"/>
          <w:b/>
          <w:color w:val="000000" w:themeColor="text1"/>
          <w:sz w:val="28"/>
        </w:rPr>
        <w:t xml:space="preserve">, премия имени </w:t>
      </w:r>
      <w:proofErr w:type="spellStart"/>
      <w:r>
        <w:rPr>
          <w:rFonts w:ascii="Times New Roman" w:hAnsi="Times New Roman"/>
          <w:b/>
          <w:color w:val="000000" w:themeColor="text1"/>
          <w:sz w:val="28"/>
        </w:rPr>
        <w:t>Джамала</w:t>
      </w:r>
      <w:proofErr w:type="spellEnd"/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</w:rPr>
        <w:t>Валиди</w:t>
      </w:r>
      <w:proofErr w:type="spellEnd"/>
      <w:r>
        <w:rPr>
          <w:rFonts w:ascii="Times New Roman" w:hAnsi="Times New Roman"/>
          <w:b/>
          <w:color w:val="000000" w:themeColor="text1"/>
          <w:sz w:val="28"/>
        </w:rPr>
        <w:t xml:space="preserve">, премия имени </w:t>
      </w:r>
      <w:proofErr w:type="spellStart"/>
      <w:r>
        <w:rPr>
          <w:rFonts w:ascii="Times New Roman" w:hAnsi="Times New Roman"/>
          <w:b/>
          <w:color w:val="000000" w:themeColor="text1"/>
          <w:sz w:val="28"/>
        </w:rPr>
        <w:t>Фатих</w:t>
      </w:r>
      <w:r w:rsidR="0004434F">
        <w:rPr>
          <w:rFonts w:ascii="Times New Roman" w:hAnsi="Times New Roman"/>
          <w:b/>
          <w:color w:val="000000" w:themeColor="text1"/>
          <w:sz w:val="28"/>
        </w:rPr>
        <w:t>а</w:t>
      </w:r>
      <w:proofErr w:type="spellEnd"/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</w:rPr>
        <w:t>Хусни</w:t>
      </w:r>
      <w:proofErr w:type="spellEnd"/>
      <w:r>
        <w:rPr>
          <w:rFonts w:ascii="Times New Roman" w:hAnsi="Times New Roman"/>
          <w:b/>
          <w:color w:val="000000" w:themeColor="text1"/>
          <w:sz w:val="28"/>
        </w:rPr>
        <w:t>)</w:t>
      </w:r>
    </w:p>
    <w:p w:rsidR="00EA3681" w:rsidRDefault="00EA3681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EA3681" w:rsidRDefault="00EA3681" w:rsidP="00F47EEB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</w:rPr>
      </w:pPr>
    </w:p>
    <w:p w:rsidR="00EA3681" w:rsidRDefault="00F47EE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Срок проведения отбора</w:t>
      </w:r>
      <w:r w:rsidR="0004434F">
        <w:rPr>
          <w:rFonts w:ascii="Times New Roman" w:hAnsi="Times New Roman"/>
          <w:color w:val="000000" w:themeColor="text1"/>
          <w:sz w:val="28"/>
        </w:rPr>
        <w:t xml:space="preserve"> – с 07</w:t>
      </w:r>
      <w:r>
        <w:rPr>
          <w:rFonts w:ascii="Times New Roman" w:hAnsi="Times New Roman"/>
          <w:color w:val="000000" w:themeColor="text1"/>
          <w:sz w:val="28"/>
        </w:rPr>
        <w:t>.10.2022 по 05.11.2022</w:t>
      </w:r>
    </w:p>
    <w:p w:rsidR="00EA3681" w:rsidRDefault="00EA368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EA3681" w:rsidRDefault="00F47E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Место проведение отбора</w:t>
      </w:r>
      <w:r>
        <w:rPr>
          <w:rFonts w:ascii="Times New Roman" w:hAnsi="Times New Roman"/>
          <w:color w:val="000000" w:themeColor="text1"/>
          <w:sz w:val="28"/>
        </w:rPr>
        <w:t xml:space="preserve"> – Министерство культуры Республики Татарстан, 420060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г.Казань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ул.Пушкина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66/33, </w:t>
      </w:r>
      <w:r>
        <w:rPr>
          <w:rFonts w:ascii="Times New Roman" w:hAnsi="Times New Roman"/>
          <w:sz w:val="28"/>
        </w:rPr>
        <w:t>E-</w:t>
      </w:r>
      <w:proofErr w:type="spellStart"/>
      <w:r>
        <w:rPr>
          <w:rFonts w:ascii="Times New Roman" w:hAnsi="Times New Roman"/>
          <w:sz w:val="28"/>
        </w:rPr>
        <w:t>Mail</w:t>
      </w:r>
      <w:proofErr w:type="spellEnd"/>
      <w:r>
        <w:rPr>
          <w:rFonts w:ascii="Times New Roman" w:hAnsi="Times New Roman"/>
          <w:sz w:val="28"/>
        </w:rPr>
        <w:t xml:space="preserve">: </w:t>
      </w:r>
      <w:hyperlink r:id="rId4" w:history="1">
        <w:r>
          <w:rPr>
            <w:rStyle w:val="15"/>
            <w:rFonts w:ascii="Times New Roman" w:hAnsi="Times New Roman"/>
            <w:sz w:val="28"/>
          </w:rPr>
          <w:t>mkrt@tatar.ru</w:t>
        </w:r>
      </w:hyperlink>
      <w:r>
        <w:rPr>
          <w:rFonts w:ascii="Times New Roman" w:hAnsi="Times New Roman"/>
          <w:sz w:val="28"/>
        </w:rPr>
        <w:t>.</w:t>
      </w:r>
    </w:p>
    <w:p w:rsidR="00EA3681" w:rsidRDefault="00EA368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EA3681" w:rsidRDefault="00F47E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организации и проведении мероприятий:</w:t>
      </w:r>
    </w:p>
    <w:p w:rsidR="00EA3681" w:rsidRDefault="00F47E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Художественно -технические параметры мероприятий:</w:t>
      </w:r>
    </w:p>
    <w:p w:rsidR="00EA3681" w:rsidRDefault="00F47E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длительность мероприятий: 00час 00мин</w:t>
      </w:r>
    </w:p>
    <w:p w:rsidR="00EA3681" w:rsidRDefault="00F47EE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проведения мероприятий: Союз писателей РТ</w:t>
      </w:r>
    </w:p>
    <w:p w:rsidR="00EA3681" w:rsidRDefault="00F47EEB">
      <w:pPr>
        <w:spacing w:after="0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технические характеристики места проведения мероприятий:</w:t>
      </w:r>
    </w:p>
    <w:p w:rsidR="00EA3681" w:rsidRDefault="00F47E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оформление места проведения мероприятий: нет;</w:t>
      </w:r>
    </w:p>
    <w:p w:rsidR="00EA3681" w:rsidRDefault="00F47E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звуковое обеспечение: нет;</w:t>
      </w:r>
    </w:p>
    <w:p w:rsidR="00EA3681" w:rsidRDefault="00F47EEB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профессиональные требования к исполнителям, количество исполнителей: 0           человек;</w:t>
      </w:r>
    </w:p>
    <w:p w:rsidR="00EA3681" w:rsidRDefault="00F47E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сценарий проведения мероприятий: нет;</w:t>
      </w:r>
    </w:p>
    <w:p w:rsidR="00EA3681" w:rsidRDefault="00F47E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рекламной кампании: нет;</w:t>
      </w:r>
    </w:p>
    <w:p w:rsidR="00EA3681" w:rsidRDefault="00F47E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транспортное обеспечение: нет;</w:t>
      </w:r>
    </w:p>
    <w:p w:rsidR="00EA3681" w:rsidRDefault="00F47E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питания: нет;</w:t>
      </w:r>
    </w:p>
    <w:p w:rsidR="00EA3681" w:rsidRDefault="00F47E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другие параметры относящиеся к проведению мероприятия: нет.</w:t>
      </w:r>
    </w:p>
    <w:p w:rsidR="00EA3681" w:rsidRDefault="00EA368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EA3681" w:rsidRDefault="00F47E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реализации проектов:</w:t>
      </w:r>
    </w:p>
    <w:p w:rsidR="00EA3681" w:rsidRDefault="00F47E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Параметры проектов:</w:t>
      </w:r>
    </w:p>
    <w:p w:rsidR="00EA3681" w:rsidRDefault="00F47E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проектов:</w:t>
      </w:r>
    </w:p>
    <w:p w:rsidR="00EA3681" w:rsidRDefault="00F47E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целевая аудитория проектов:</w:t>
      </w:r>
    </w:p>
    <w:p w:rsidR="00EA3681" w:rsidRDefault="00F47E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используемые в ходе реализации проектов материалы, технологии:</w:t>
      </w:r>
    </w:p>
    <w:p w:rsidR="00EA3681" w:rsidRDefault="00F47E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конечного результата реализации проекта:</w:t>
      </w:r>
    </w:p>
    <w:p w:rsidR="00EA3681" w:rsidRDefault="00EA368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Результат, в целях достижения которого предоставляется субсидия: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EA3681" w:rsidRDefault="00F47E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организации и проведении мероприятий: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участников – не менее 100 человек;</w:t>
      </w:r>
    </w:p>
    <w:p w:rsidR="00EA3681" w:rsidRDefault="00F47EE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количество исполнителей – не менее одного человека или одной организации.</w:t>
      </w:r>
    </w:p>
    <w:p w:rsidR="00EA3681" w:rsidRDefault="00F47E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реализации проектов: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проектов, реализованных в соответствии с заявкой - не менее 1 единицы;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фактически привлеченная целевая аудитория – не менее 100 человек.</w:t>
      </w:r>
    </w:p>
    <w:p w:rsidR="00EA3681" w:rsidRDefault="00F47EE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/>
          <w:color w:val="000000" w:themeColor="text1"/>
          <w:sz w:val="28"/>
        </w:rPr>
        <w:t xml:space="preserve"> - </w:t>
      </w:r>
      <w:hyperlink r:id="rId5" w:history="1">
        <w:r>
          <w:rPr>
            <w:rStyle w:val="15"/>
            <w:rFonts w:ascii="Times New Roman" w:hAnsi="Times New Roman"/>
            <w:sz w:val="28"/>
          </w:rPr>
          <w:t>https://mincult.tatarstan.ru</w:t>
        </w:r>
      </w:hyperlink>
      <w:r>
        <w:rPr>
          <w:rFonts w:ascii="Times New Roman" w:hAnsi="Times New Roman"/>
          <w:color w:val="000000" w:themeColor="text1"/>
          <w:sz w:val="28"/>
        </w:rPr>
        <w:t>.</w:t>
      </w:r>
    </w:p>
    <w:p w:rsidR="00EA3681" w:rsidRDefault="00EA3681" w:rsidP="00F47EE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EA3681" w:rsidRDefault="00F47EEB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Для участия в отборе некоммерческая организация представляет в Министерство: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а)</w:t>
      </w:r>
      <w:r>
        <w:rPr>
          <w:color w:val="000000" w:themeColor="text1"/>
          <w:sz w:val="28"/>
        </w:rPr>
        <w:t xml:space="preserve"> </w:t>
      </w:r>
      <w:hyperlink r:id="rId6" w:history="1">
        <w:r>
          <w:rPr>
            <w:rFonts w:ascii="Times New Roman" w:hAnsi="Times New Roman"/>
            <w:color w:val="000000" w:themeColor="text1"/>
            <w:sz w:val="28"/>
          </w:rPr>
          <w:t>заявку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по форме согласно </w:t>
      </w:r>
      <w:proofErr w:type="gramStart"/>
      <w:r>
        <w:rPr>
          <w:rFonts w:ascii="Times New Roman" w:hAnsi="Times New Roman"/>
          <w:color w:val="000000" w:themeColor="text1"/>
          <w:sz w:val="28"/>
        </w:rPr>
        <w:t>приложению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к настоящему Порядку, которая включает: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>
          <w:rPr>
            <w:rFonts w:ascii="Times New Roman" w:hAnsi="Times New Roman"/>
            <w:color w:val="000000" w:themeColor="text1"/>
            <w:sz w:val="28"/>
          </w:rPr>
          <w:t>пункте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настоящего Порядка, утвержденную руководителем некоммерческой организации;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>
          <w:rPr>
            <w:rFonts w:ascii="Times New Roman" w:hAnsi="Times New Roman"/>
            <w:color w:val="000000" w:themeColor="text1"/>
            <w:sz w:val="28"/>
          </w:rPr>
          <w:t>пункте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0" w:name="Par5"/>
      <w:bookmarkEnd w:id="0"/>
      <w:r>
        <w:rPr>
          <w:rFonts w:ascii="Times New Roman" w:hAnsi="Times New Roman"/>
          <w:color w:val="000000" w:themeColor="text1"/>
          <w:sz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EA3681" w:rsidRDefault="00EA36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lastRenderedPageBreak/>
        <w:t>Основаниями для отклонения заявки на стадии рассмотрения заявок являются: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некоммерческой организации вышеуказанным требованиям;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подача заявки после даты и (или) времени, определенных для подачи заявок;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отсутствие бюджетных ассигнований и лимитов бюджетных обязательств, доведенных Министерству на вышеуказанные цели.</w:t>
      </w:r>
    </w:p>
    <w:p w:rsidR="00EA3681" w:rsidRDefault="00EA36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EA3681" w:rsidRDefault="00EA36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Правил рассмотрения заявок: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председателя Комиссии и членов Комиссии из числа сотрудников Министерства.  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дата, время и место проведения рассмотрения заявок;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информация о некоммерческих организациях, заявки которых были рассмотрены;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EA3681" w:rsidRDefault="00EA368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>
        <w:rPr>
          <w:rFonts w:ascii="Times New Roman" w:hAnsi="Times New Roman"/>
          <w:color w:val="000000" w:themeColor="text1"/>
          <w:sz w:val="28"/>
        </w:rPr>
        <w:t xml:space="preserve"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EA3681" w:rsidRDefault="00EA368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 </w:t>
      </w:r>
      <w:r>
        <w:rPr>
          <w:rFonts w:ascii="Times New Roman" w:hAnsi="Times New Roman"/>
          <w:color w:val="000000" w:themeColor="text1"/>
          <w:sz w:val="28"/>
        </w:rPr>
        <w:t>разъяснения положений объявления о проведении отбора осуществляется по телефону … в день обращения.</w:t>
      </w:r>
    </w:p>
    <w:p w:rsidR="00EA3681" w:rsidRDefault="00EA368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Срок, в течение которого победитель отбора должен подписать соглашение о предоставлении субсидии: с</w:t>
      </w:r>
      <w:r>
        <w:rPr>
          <w:rFonts w:ascii="Times New Roman" w:hAnsi="Times New Roman"/>
          <w:color w:val="000000" w:themeColor="text1"/>
          <w:sz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EA3681" w:rsidRDefault="00EA368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Условия признания победителя отбора уклонившимся от заключения соглашения: </w:t>
      </w:r>
      <w:r>
        <w:rPr>
          <w:rFonts w:ascii="Times New Roman" w:hAnsi="Times New Roman"/>
          <w:color w:val="000000" w:themeColor="text1"/>
          <w:sz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EA3681" w:rsidRDefault="00EA368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EA3681" w:rsidRDefault="00F47E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Дата размещения результатов отбора на официальном сайте: </w:t>
      </w:r>
      <w:r>
        <w:rPr>
          <w:rFonts w:ascii="Times New Roman" w:hAnsi="Times New Roman"/>
          <w:color w:val="000000" w:themeColor="text1"/>
          <w:sz w:val="28"/>
        </w:rPr>
        <w:t>не позднее 14-го календарного дня, следующего за днем определения победителя отбора.</w:t>
      </w:r>
    </w:p>
    <w:p w:rsidR="00EA3681" w:rsidRDefault="00F47EEB">
      <w:pPr>
        <w:spacing w:after="160" w:line="264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:rsidR="0004434F" w:rsidRPr="00ED1EB6" w:rsidRDefault="0004434F" w:rsidP="0004434F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04434F" w:rsidRDefault="0004434F" w:rsidP="0004434F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/>
          <w:sz w:val="28"/>
          <w:szCs w:val="28"/>
        </w:rPr>
        <w:t xml:space="preserve"> </w:t>
      </w:r>
    </w:p>
    <w:p w:rsidR="0004434F" w:rsidRPr="008006E0" w:rsidRDefault="0004434F" w:rsidP="0004434F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525210">
        <w:rPr>
          <w:rFonts w:ascii="Times New Roman" w:hAnsi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04434F" w:rsidRPr="00ED1EB6" w:rsidRDefault="0004434F" w:rsidP="0004434F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</w:p>
    <w:p w:rsidR="0004434F" w:rsidRDefault="0004434F" w:rsidP="0004434F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Форма</w:t>
      </w:r>
    </w:p>
    <w:p w:rsidR="0004434F" w:rsidRDefault="0004434F" w:rsidP="0004434F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</w:p>
    <w:p w:rsidR="0004434F" w:rsidRPr="00ED1EB6" w:rsidRDefault="0004434F" w:rsidP="0004434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Заявка</w:t>
      </w:r>
    </w:p>
    <w:p w:rsidR="0004434F" w:rsidRPr="00ED1EB6" w:rsidRDefault="0004434F" w:rsidP="0004434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на предоставление субсидии из б</w:t>
      </w:r>
      <w:bookmarkStart w:id="1" w:name="_GoBack"/>
      <w:bookmarkEnd w:id="1"/>
      <w:r w:rsidRPr="00ED1EB6">
        <w:rPr>
          <w:rFonts w:ascii="Times New Roman" w:hAnsi="Times New Roman"/>
          <w:sz w:val="28"/>
          <w:szCs w:val="28"/>
        </w:rPr>
        <w:t>юджета Республики Татарстан на финансовое</w:t>
      </w:r>
    </w:p>
    <w:p w:rsidR="0004434F" w:rsidRPr="00ED1EB6" w:rsidRDefault="0004434F" w:rsidP="0004434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обеспечение (возмещение) затрат, связанных с ________________________</w:t>
      </w:r>
    </w:p>
    <w:p w:rsidR="0004434F" w:rsidRPr="00ED1EB6" w:rsidRDefault="0004434F" w:rsidP="0004434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04434F" w:rsidRPr="00ED1EB6" w:rsidRDefault="0004434F" w:rsidP="0004434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434F" w:rsidRPr="00ED1EB6" w:rsidRDefault="0004434F" w:rsidP="000443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/>
          <w:sz w:val="28"/>
          <w:szCs w:val="28"/>
        </w:rPr>
        <w:t xml:space="preserve"> ________ 20__ г.</w:t>
      </w:r>
    </w:p>
    <w:p w:rsidR="0004434F" w:rsidRPr="00ED1EB6" w:rsidRDefault="0004434F" w:rsidP="000443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4434F" w:rsidRPr="00ED1EB6" w:rsidRDefault="0004434F" w:rsidP="000443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1. Полное наименование некоммерческой организации: ____________________</w:t>
      </w:r>
    </w:p>
    <w:p w:rsidR="0004434F" w:rsidRPr="00ED1EB6" w:rsidRDefault="0004434F" w:rsidP="000443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D1EB6">
        <w:rPr>
          <w:rFonts w:ascii="Times New Roman" w:hAnsi="Times New Roman"/>
          <w:sz w:val="28"/>
          <w:szCs w:val="28"/>
        </w:rPr>
        <w:t>организация).</w:t>
      </w:r>
    </w:p>
    <w:p w:rsidR="0004434F" w:rsidRPr="00ED1EB6" w:rsidRDefault="0004434F" w:rsidP="000443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/>
          <w:sz w:val="28"/>
          <w:szCs w:val="28"/>
        </w:rPr>
        <w:t>организацией: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___________</w:t>
      </w:r>
    </w:p>
    <w:p w:rsidR="0004434F" w:rsidRPr="00ED1EB6" w:rsidRDefault="0004434F" w:rsidP="000443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ED1EB6">
        <w:rPr>
          <w:rFonts w:ascii="Times New Roman" w:hAnsi="Times New Roman"/>
          <w:sz w:val="28"/>
          <w:szCs w:val="28"/>
        </w:rPr>
        <w:t>.</w:t>
      </w:r>
    </w:p>
    <w:p w:rsidR="0004434F" w:rsidRPr="00ED1EB6" w:rsidRDefault="0004434F" w:rsidP="000443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04434F" w:rsidRPr="00ED1EB6" w:rsidRDefault="0004434F" w:rsidP="000443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/>
          <w:sz w:val="28"/>
          <w:szCs w:val="28"/>
        </w:rPr>
        <w:t>.</w:t>
      </w:r>
    </w:p>
    <w:p w:rsidR="0004434F" w:rsidRDefault="0004434F" w:rsidP="000443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4. Сумма субсидии: _________________</w:t>
      </w:r>
      <w:r>
        <w:rPr>
          <w:rFonts w:ascii="Times New Roman" w:hAnsi="Times New Roman"/>
          <w:sz w:val="28"/>
          <w:szCs w:val="28"/>
        </w:rPr>
        <w:t>__</w:t>
      </w:r>
      <w:r w:rsidRPr="00ED1EB6">
        <w:rPr>
          <w:rFonts w:ascii="Times New Roman" w:hAnsi="Times New Roman"/>
          <w:sz w:val="28"/>
          <w:szCs w:val="28"/>
        </w:rPr>
        <w:t>__________________________________.</w:t>
      </w:r>
    </w:p>
    <w:p w:rsidR="0004434F" w:rsidRPr="00ED1EB6" w:rsidRDefault="0004434F" w:rsidP="000443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/>
          <w:sz w:val="28"/>
          <w:szCs w:val="28"/>
        </w:rPr>
        <w:t>.</w:t>
      </w:r>
    </w:p>
    <w:p w:rsidR="0004434F" w:rsidRPr="00ED1EB6" w:rsidRDefault="0004434F" w:rsidP="000443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ED1EB6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.</w:t>
      </w:r>
    </w:p>
    <w:p w:rsidR="0004434F" w:rsidRPr="00ED1EB6" w:rsidRDefault="0004434F" w:rsidP="000443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/>
          <w:sz w:val="28"/>
          <w:szCs w:val="28"/>
        </w:rPr>
        <w:t>_________</w:t>
      </w:r>
    </w:p>
    <w:p w:rsidR="0004434F" w:rsidRPr="00ED1EB6" w:rsidRDefault="0004434F" w:rsidP="000443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lastRenderedPageBreak/>
        <w:t xml:space="preserve"> 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/>
          <w:sz w:val="28"/>
          <w:szCs w:val="28"/>
        </w:rPr>
        <w:t>.</w:t>
      </w:r>
    </w:p>
    <w:p w:rsidR="0004434F" w:rsidRDefault="0004434F" w:rsidP="0004434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4434F" w:rsidRPr="00ED1EB6" w:rsidRDefault="0004434F" w:rsidP="0004434F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04434F" w:rsidRPr="00ED1EB6" w:rsidRDefault="0004434F" w:rsidP="0004434F">
      <w:pPr>
        <w:spacing w:before="20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04434F" w:rsidRDefault="0004434F" w:rsidP="000443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4434F" w:rsidRPr="00ED1EB6" w:rsidRDefault="0004434F" w:rsidP="0004434F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04434F" w:rsidRPr="00ED1EB6" w:rsidTr="00EE4301">
        <w:trPr>
          <w:jc w:val="center"/>
        </w:trPr>
        <w:tc>
          <w:tcPr>
            <w:tcW w:w="594" w:type="dxa"/>
          </w:tcPr>
          <w:p w:rsidR="0004434F" w:rsidRPr="00ED1EB6" w:rsidRDefault="0004434F" w:rsidP="000443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ED1EB6">
              <w:rPr>
                <w:rFonts w:ascii="Times New Roman" w:hAnsi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726" w:type="dxa"/>
          </w:tcPr>
          <w:p w:rsidR="0004434F" w:rsidRPr="00ED1EB6" w:rsidRDefault="0004434F" w:rsidP="000443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EB6">
              <w:rPr>
                <w:rFonts w:ascii="Times New Roman" w:hAnsi="Times New Roman"/>
                <w:sz w:val="28"/>
                <w:szCs w:val="28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04434F" w:rsidRPr="00ED1EB6" w:rsidRDefault="0004434F" w:rsidP="000443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EB6"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</w:tc>
      </w:tr>
      <w:tr w:rsidR="0004434F" w:rsidRPr="00ED1EB6" w:rsidTr="00EE4301">
        <w:trPr>
          <w:jc w:val="center"/>
        </w:trPr>
        <w:tc>
          <w:tcPr>
            <w:tcW w:w="594" w:type="dxa"/>
          </w:tcPr>
          <w:p w:rsidR="0004434F" w:rsidRPr="00ED1EB6" w:rsidRDefault="0004434F" w:rsidP="000443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6" w:type="dxa"/>
          </w:tcPr>
          <w:p w:rsidR="0004434F" w:rsidRPr="00ED1EB6" w:rsidRDefault="0004434F" w:rsidP="000443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04434F" w:rsidRPr="00ED1EB6" w:rsidRDefault="0004434F" w:rsidP="000443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434F" w:rsidRPr="00ED1EB6" w:rsidTr="00EE4301">
        <w:trPr>
          <w:jc w:val="center"/>
        </w:trPr>
        <w:tc>
          <w:tcPr>
            <w:tcW w:w="594" w:type="dxa"/>
          </w:tcPr>
          <w:p w:rsidR="0004434F" w:rsidRPr="00ED1EB6" w:rsidRDefault="0004434F" w:rsidP="000443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6" w:type="dxa"/>
          </w:tcPr>
          <w:p w:rsidR="0004434F" w:rsidRPr="00ED1EB6" w:rsidRDefault="0004434F" w:rsidP="000443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04434F" w:rsidRPr="00ED1EB6" w:rsidRDefault="0004434F" w:rsidP="000443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434F" w:rsidRPr="00ED1EB6" w:rsidRDefault="0004434F" w:rsidP="000443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434F" w:rsidRPr="00ED1EB6" w:rsidRDefault="0004434F" w:rsidP="000443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D1EB6">
        <w:rPr>
          <w:rFonts w:ascii="Times New Roman" w:hAnsi="Times New Roman"/>
          <w:sz w:val="28"/>
          <w:szCs w:val="28"/>
        </w:rPr>
        <w:t>Руководитель                       ________</w:t>
      </w:r>
      <w:r>
        <w:rPr>
          <w:rFonts w:ascii="Times New Roman" w:hAnsi="Times New Roman"/>
          <w:sz w:val="28"/>
          <w:szCs w:val="28"/>
        </w:rPr>
        <w:t>________/_____________________</w:t>
      </w:r>
    </w:p>
    <w:p w:rsidR="0004434F" w:rsidRPr="00ED1EB6" w:rsidRDefault="0004434F" w:rsidP="000443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                                      (</w:t>
      </w:r>
      <w:proofErr w:type="gramStart"/>
      <w:r w:rsidRPr="00ED1EB6">
        <w:rPr>
          <w:rFonts w:ascii="Times New Roman" w:hAnsi="Times New Roman"/>
          <w:sz w:val="28"/>
          <w:szCs w:val="28"/>
        </w:rPr>
        <w:t xml:space="preserve">подпись)   </w:t>
      </w:r>
      <w:proofErr w:type="gramEnd"/>
      <w:r w:rsidRPr="00ED1EB6">
        <w:rPr>
          <w:rFonts w:ascii="Times New Roman" w:hAnsi="Times New Roman"/>
          <w:sz w:val="28"/>
          <w:szCs w:val="28"/>
        </w:rPr>
        <w:t xml:space="preserve">   (расшифровка подписи)</w:t>
      </w:r>
    </w:p>
    <w:p w:rsidR="0004434F" w:rsidRPr="00ED1EB6" w:rsidRDefault="0004434F" w:rsidP="000443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3681" w:rsidRDefault="0004434F" w:rsidP="0004434F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                                    М.П.</w:t>
      </w:r>
    </w:p>
    <w:p w:rsidR="00EA3681" w:rsidRDefault="00EA368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sectPr w:rsidR="00EA3681">
      <w:pgSz w:w="11906" w:h="16838"/>
      <w:pgMar w:top="1134" w:right="566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81"/>
    <w:rsid w:val="0004434F"/>
    <w:rsid w:val="00375EA3"/>
    <w:rsid w:val="00EA3681"/>
    <w:rsid w:val="00F4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127FC-E882-4F8F-B429-739E8AA1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Заголовок 2 Знак"/>
    <w:link w:val="24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Pr>
      <w:rFonts w:ascii="XO Thames" w:hAnsi="XO Thames"/>
      <w:b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Гиперссылка1"/>
    <w:basedOn w:val="12"/>
    <w:link w:val="15"/>
    <w:rPr>
      <w:color w:val="0563C1" w:themeColor="hyperlink"/>
      <w:u w:val="single"/>
    </w:rPr>
  </w:style>
  <w:style w:type="character" w:customStyle="1" w:styleId="15">
    <w:name w:val="Гиперссылка1"/>
    <w:basedOn w:val="13"/>
    <w:link w:val="14"/>
    <w:rPr>
      <w:color w:val="0563C1" w:themeColor="hyperlink"/>
      <w:u w:val="single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3"/>
    <w:rPr>
      <w:color w:val="0000FF"/>
      <w:u w:val="single"/>
    </w:rPr>
  </w:style>
  <w:style w:type="character" w:styleId="a3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26">
    <w:name w:val="Основной шрифт абзаца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2630</Words>
  <Characters>14993</Characters>
  <Application>Microsoft Office Word</Application>
  <DocSecurity>0</DocSecurity>
  <Lines>124</Lines>
  <Paragraphs>35</Paragraphs>
  <ScaleCrop>false</ScaleCrop>
  <Company/>
  <LinksUpToDate>false</LinksUpToDate>
  <CharactersWithSpaces>17588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Хамидуллова Мадина Талгатовна</cp:lastModifiedBy>
  <cp:revision>6</cp:revision>
  <dcterms:created xsi:type="dcterms:W3CDTF">2022-10-04T14:08:00Z</dcterms:created>
  <dcterms:modified xsi:type="dcterms:W3CDTF">2022-10-04T14:25:00Z</dcterms:modified>
</cp:coreProperties>
</file>